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0" w:name="_Toc4880"/>
      <w:bookmarkStart w:id="22" w:name="_GoBack"/>
      <w:bookmarkEnd w:id="22"/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贵州省提振消费实施方案</w:t>
      </w:r>
    </w:p>
    <w:p>
      <w:pPr>
        <w:pStyle w:val="6"/>
        <w:jc w:val="center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（征求意见稿）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为深入贯彻落实党中央、国务院</w:t>
      </w:r>
      <w:r>
        <w:rPr>
          <w:rFonts w:ascii="Times New Roman" w:hAnsi="Times New Roman" w:eastAsia="方正仿宋_GBK" w:cs="Times New Roman"/>
          <w:sz w:val="32"/>
          <w:szCs w:val="32"/>
        </w:rPr>
        <w:t>关于提振消费的决策部署，结合贵州实际，进一步提振消费，激发市场活力，促进经济持续回升向好，制定本方案。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 xml:space="preserve"> </w:t>
      </w:r>
      <w:r>
        <w:rPr>
          <w:rFonts w:ascii="Times New Roman" w:hAnsi="Times New Roman" w:eastAsia="黑体" w:cs="Times New Roman"/>
          <w:color w:val="auto"/>
          <w:lang w:val="en-US" w:eastAsia="zh-CN"/>
        </w:rPr>
        <w:t>一</w:t>
      </w:r>
      <w:r>
        <w:rPr>
          <w:rFonts w:ascii="Times New Roman" w:hAnsi="Times New Roman" w:eastAsia="黑体" w:cs="Times New Roman"/>
          <w:color w:val="auto"/>
        </w:rPr>
        <w:t>、消费能力保障</w:t>
      </w:r>
      <w:r>
        <w:rPr>
          <w:rFonts w:ascii="Times New Roman" w:hAnsi="Times New Roman" w:eastAsia="黑体" w:cs="Times New Roman"/>
          <w:color w:val="auto"/>
          <w:lang w:val="en-US" w:eastAsia="zh-CN"/>
        </w:rPr>
        <w:t>支持</w:t>
      </w:r>
      <w:r>
        <w:rPr>
          <w:rFonts w:ascii="Times New Roman" w:hAnsi="Times New Roman" w:eastAsia="黑体" w:cs="Times New Roman"/>
          <w:color w:val="auto"/>
        </w:rPr>
        <w:t>行动</w:t>
      </w:r>
    </w:p>
    <w:p>
      <w:pPr>
        <w:pStyle w:val="2"/>
        <w:spacing w:line="600" w:lineRule="exact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 w:cs="Times New Roman"/>
          <w:color w:val="auto"/>
          <w:lang w:eastAsia="zh-CN"/>
        </w:rPr>
        <w:t>（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一</w:t>
      </w:r>
      <w:r>
        <w:rPr>
          <w:rFonts w:ascii="Times New Roman" w:hAnsi="Times New Roman" w:eastAsia="方正楷体_GBK" w:cs="Times New Roman"/>
          <w:color w:val="auto"/>
          <w:lang w:eastAsia="zh-CN"/>
        </w:rPr>
        <w:t>）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大力促进城乡居民增收。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实施促进居民增收三年行动，确保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居民收入增长与经济增长基本同步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深入推进“六六就业稳岗计划”，紧扣产业发展需求开展技能培训，提升城乡居民就业能力。强化创业扶持力度，为符合条件的创业人员提供担保贷款，发放一次性创业补贴、创业场所租赁补贴等。强化兜底保障，持续提高城乡低保发放标准。2025年，城镇新增就业60万人左右，城镇、农村居民人均可支配收入分别增长5%左右、7%左右。</w:t>
      </w:r>
    </w:p>
    <w:p>
      <w:pPr>
        <w:spacing w:line="600" w:lineRule="exact"/>
        <w:ind w:left="0" w:firstLine="640" w:firstLineChars="200"/>
        <w:jc w:val="left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Times New Roman"/>
          <w:color w:val="auto"/>
        </w:rPr>
        <w:t>（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二</w:t>
      </w:r>
      <w:r>
        <w:rPr>
          <w:rFonts w:ascii="Times New Roman" w:hAnsi="Times New Roman" w:eastAsia="方正楷体_GBK" w:cs="Times New Roman"/>
          <w:color w:val="auto"/>
        </w:rPr>
        <w:t>）扎实解决拖欠账款问题。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严格执行农民工工资银行代发制度，加强支付监管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强化拖欠农民工工资失信联合惩戒对象名单管理、重大劳动保障违法行为公布，依法依规开展失信名单认定、列入、公开、推送等管理工作。加快推进落实偿还拖欠企业账款工作，各地政府、政府平台公司进行清查梳理，制定解决措施和明确还款期限，实现动态清零</w:t>
      </w:r>
      <w:r>
        <w:rPr>
          <w:rFonts w:ascii="Times New Roman" w:hAnsi="Times New Roman" w:eastAsia="方正仿宋_GBK" w:cs="Times New Roman"/>
          <w:lang w:eastAsia="zh-CN"/>
        </w:rPr>
        <w:t>。</w:t>
      </w:r>
    </w:p>
    <w:p>
      <w:pPr>
        <w:pStyle w:val="2"/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Times New Roman"/>
          <w:color w:val="auto"/>
        </w:rPr>
        <w:t>（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三</w:t>
      </w:r>
      <w:r>
        <w:rPr>
          <w:rFonts w:ascii="Times New Roman" w:hAnsi="Times New Roman" w:eastAsia="方正楷体_GBK" w:cs="Times New Roman"/>
          <w:color w:val="auto"/>
        </w:rPr>
        <w:t>）加大生育养育保障力度。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稳妥实施国家育儿补贴制度。</w:t>
      </w:r>
      <w:r>
        <w:rPr>
          <w:rFonts w:ascii="Times New Roman" w:hAnsi="Times New Roman" w:eastAsia="方正仿宋_GBK" w:cs="Times New Roman"/>
          <w:color w:val="auto"/>
          <w:lang w:val="en-US" w:eastAsia="zh-CN"/>
        </w:rPr>
        <w:t>继续落实好在我省参加职工基本医疗保险的灵活就业人员、农民工、</w:t>
      </w:r>
      <w:r>
        <w:rPr>
          <w:rFonts w:ascii="Times New Roman" w:hAnsi="Times New Roman" w:eastAsia="方正仿宋_GBK" w:cs="Times New Roman"/>
          <w:color w:val="000000"/>
          <w:lang w:val="en-US" w:eastAsia="zh-CN"/>
        </w:rPr>
        <w:t>新就业形态人员等群体生育保险待遇保障工作</w:t>
      </w:r>
      <w:r>
        <w:rPr>
          <w:rFonts w:ascii="Times New Roman" w:hAnsi="Times New Roman" w:eastAsia="方正仿宋_GBK" w:cs="Times New Roman"/>
          <w:color w:val="000000"/>
          <w:lang w:val="en-US"/>
        </w:rPr>
        <w:t>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实施儿科服务年行动，支持儿科基础设施建设和设备更新购置，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指导儿科优化分级诊疗措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施，结合实际需求设置夜间门诊。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Times New Roman"/>
          <w:color w:val="auto"/>
          <w:lang w:val="en-US" w:eastAsia="zh-CN"/>
        </w:rPr>
        <w:t>（四）</w:t>
      </w:r>
      <w:r>
        <w:rPr>
          <w:rFonts w:ascii="Times New Roman" w:hAnsi="Times New Roman" w:eastAsia="方正楷体_GBK" w:cs="Times New Roman"/>
          <w:color w:val="auto"/>
        </w:rPr>
        <w:t>提高医疗养老保障能力。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按照国家统一部署，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逐步提高城乡居民基本养老保险待遇水平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，适当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提高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退休人员基本养老金。鼓励城乡居民选择高档次标准按年缴费，按规定给予补贴。落实为符合条件的困难人员代缴城乡居民养老保险费等帮扶政策。健全贵州省基本医疗保险参保长效机制，建立参保激励机制。2025年城乡基本医疗保险参保率持续稳定在95%以上，医保基金政策范围内住院费用支付比例达到70%左右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jc w:val="left"/>
        <w:outlineLvl w:val="2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 w:cs="Times New Roman"/>
          <w:color w:val="auto"/>
        </w:rPr>
        <w:t>（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五</w:t>
      </w:r>
      <w:r>
        <w:rPr>
          <w:rFonts w:ascii="Times New Roman" w:hAnsi="Times New Roman" w:eastAsia="方正楷体_GBK" w:cs="Times New Roman"/>
          <w:color w:val="auto"/>
        </w:rPr>
        <w:t>）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强化教育支撑。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优化教育资源供给，实施县域基础教育学校布局优化与质量提升改革试点。推进义务教育学校标准化建设，持续推进义务教育薄弱环节改善与能力提升、教育强国基础设施建设工程等项目，完善提升乡镇寄宿制学校办学条件。持续实施农村义务教育学生营养改善计划，全面落实各级各类学生资助政策。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持有居住证的农民工随迁子女义务教育公办就读率达90%以上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jc w:val="left"/>
        <w:outlineLvl w:val="2"/>
        <w:rPr>
          <w:rFonts w:ascii="Times New Roman" w:hAnsi="Times New Roman" w:eastAsia="黑体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大宗消费品更新升级行动</w:t>
      </w:r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2"/>
        <w:rPr>
          <w:rFonts w:ascii="Times New Roman" w:hAnsi="Times New Roman" w:eastAsia="方正仿宋_GBK" w:cs="Times New Roman"/>
          <w:szCs w:val="32"/>
        </w:rPr>
      </w:pPr>
      <w:bookmarkStart w:id="1" w:name="_Toc19431"/>
      <w:r>
        <w:rPr>
          <w:rFonts w:ascii="Times New Roman" w:hAnsi="Times New Roman" w:eastAsia="方正楷体_GBK" w:cs="Times New Roman"/>
          <w:color w:val="auto"/>
        </w:rPr>
        <w:t>（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六</w:t>
      </w:r>
      <w:r>
        <w:rPr>
          <w:rFonts w:ascii="Times New Roman" w:hAnsi="Times New Roman" w:eastAsia="方正楷体_GBK" w:cs="Times New Roman"/>
          <w:color w:val="auto"/>
        </w:rPr>
        <w:t>）</w:t>
      </w:r>
      <w:bookmarkStart w:id="2" w:name="OLE_LINK3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全力推进大宗消费品以旧换新。</w:t>
      </w:r>
      <w:bookmarkEnd w:id="2"/>
      <w:r>
        <w:rPr>
          <w:rFonts w:ascii="Times New Roman" w:hAnsi="Times New Roman" w:eastAsia="方正仿宋_GBK" w:cs="Times New Roman"/>
        </w:rPr>
        <w:t>用好超长期特别国债资金，扎实开展汽车报废更新、汽车置换更新、家电以旧换新、数码产品换新、家居换新、电动自行车以旧换新活动，支持汽车、家电、家居等大宗耐用消费品绿色化、智能化升级，支持换购合格安全的电动自行车，支持手机、平板、智能手表（手环）3类数码产品换新。</w:t>
      </w:r>
      <w:r>
        <w:rPr>
          <w:rFonts w:ascii="Times New Roman" w:hAnsi="Times New Roman" w:eastAsia="方正仿宋_GBK" w:cs="Times New Roman"/>
          <w:lang w:val="en-US" w:eastAsia="zh-CN"/>
        </w:rPr>
        <w:t>推动新增33类家电纳入“以旧换新”支持范围。</w:t>
      </w:r>
      <w:r>
        <w:rPr>
          <w:rFonts w:ascii="Times New Roman" w:hAnsi="Times New Roman" w:eastAsia="方正仿宋_GBK" w:cs="Times New Roman"/>
          <w:szCs w:val="32"/>
        </w:rPr>
        <w:t>优化“两新”补贴兑现模式，简化补贴申请发放流程。加强资金监管审计，严厉打击虚假交易套取补贴行为。</w:t>
      </w:r>
    </w:p>
    <w:bookmarkEnd w:id="1"/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3" w:name="_Toc29027"/>
      <w:r>
        <w:rPr>
          <w:rFonts w:ascii="Times New Roman" w:hAnsi="Times New Roman" w:eastAsia="方正楷体_GBK" w:cs="Times New Roman"/>
          <w:color w:val="auto"/>
        </w:rPr>
        <w:t>（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七</w:t>
      </w:r>
      <w:r>
        <w:rPr>
          <w:rFonts w:ascii="Times New Roman" w:hAnsi="Times New Roman" w:eastAsia="方正楷体_GBK" w:cs="Times New Roman"/>
          <w:color w:val="auto"/>
        </w:rPr>
        <w:t>）</w:t>
      </w: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拓展汽车消费链条。</w:t>
      </w:r>
      <w:r>
        <w:rPr>
          <w:rFonts w:ascii="Times New Roman" w:hAnsi="Times New Roman" w:eastAsia="方正仿宋_GBK" w:cs="Times New Roman"/>
          <w:szCs w:val="32"/>
        </w:rPr>
        <w:t>用好汽车以旧换新政策，持续开展酒车联动促销活动。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推进二手车交易合同、车辆档案电子化，实现二手车交易、纳税、保险、登记等一站式服务。鼓励各地结合实际，在用地、审批等环节支持汽车运动赛事、汽车自驾运动营地等项目建设。</w:t>
      </w:r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楷体_GBK" w:cs="Times New Roman"/>
          <w:color w:val="auto"/>
        </w:rPr>
        <w:t>（</w:t>
      </w:r>
      <w:r>
        <w:rPr>
          <w:rFonts w:ascii="Times New Roman" w:hAnsi="Times New Roman" w:eastAsia="方正楷体_GBK" w:cs="Times New Roman"/>
          <w:color w:val="auto"/>
          <w:lang w:val="en-US" w:eastAsia="zh-CN"/>
        </w:rPr>
        <w:t>八</w:t>
      </w:r>
      <w:r>
        <w:rPr>
          <w:rFonts w:ascii="Times New Roman" w:hAnsi="Times New Roman" w:eastAsia="方正楷体_GBK" w:cs="Times New Roman"/>
          <w:color w:val="auto"/>
        </w:rPr>
        <w:t>）</w:t>
      </w: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完善废旧物资回收利用体系。</w:t>
      </w:r>
      <w:bookmarkEnd w:id="3"/>
      <w:bookmarkStart w:id="4" w:name="_Toc27609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支持高水平报废汽车、家电、农机回收拆解项目建设，发展“精细化拆解+回收件高效流通”模式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加强废旧产品中有害物质的安全处理，提高资源回收利用率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bookmarkEnd w:id="4"/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（九）优化房地产市场供给调控。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加快推进棚户区（城市危旧房）改造，积极稳步推进城中村改造。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对符合条件的房产交易依法落实税费优惠政策。税务部门可结合实际情况对我省土地增值税预征率进行调整，缓解房地产企业经营困难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。支持地方国有企业收购已建成存量商品房用作保障性住房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shd w:val="clear" w:color="auto" w:fill="FFFFFF"/>
          <w:lang w:bidi="ar-SA"/>
        </w:rPr>
        <w:t>坚持以需订购原则实施专项债券收购存量商品房用作保障性住房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。</w:t>
      </w:r>
      <w:r>
        <w:rPr>
          <w:rFonts w:ascii="Times New Roman" w:hAnsi="Times New Roman" w:eastAsia="方正仿宋_GBK" w:cs="Times New Roman"/>
          <w:color w:val="000000"/>
          <w:shd w:val="clear" w:color="auto" w:fill="FFFFFF"/>
        </w:rPr>
        <w:t>统筹存量消化与增量优化，构建房地产发展新模式</w:t>
      </w:r>
      <w:r>
        <w:rPr>
          <w:rFonts w:ascii="Times New Roman" w:hAnsi="Times New Roman" w:eastAsia="方正仿宋_GBK" w:cs="Times New Roman"/>
          <w:color w:val="000000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出台我省高品质住宅设计导则，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制定“好房子”项目开发建设等政策措施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方正仿宋_GBK" w:cs="Times New Roman"/>
          <w:color w:val="auto"/>
          <w:highlight w:val="none"/>
        </w:rPr>
        <w:t>2025年启动城中村改造3万户、城市危旧房改造8600套。</w:t>
      </w:r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三、</w:t>
      </w:r>
      <w:r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  <w:t>促进服务消费供给</w:t>
      </w:r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  <w:t>行动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firstLine="640" w:firstLineChars="200"/>
        <w:contextualSpacing/>
        <w:jc w:val="left"/>
        <w:textAlignment w:val="auto"/>
        <w:outlineLvl w:val="2"/>
        <w:rPr>
          <w:rFonts w:ascii="Times New Roman" w:hAnsi="Times New Roman" w:eastAsia="方正仿宋_GBK" w:cs="Times New Roman"/>
          <w:szCs w:val="32"/>
        </w:rPr>
      </w:pPr>
      <w:bookmarkStart w:id="5" w:name="_Toc15899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（十）提质餐饮服务。</w:t>
      </w:r>
      <w:bookmarkEnd w:id="5"/>
      <w:bookmarkStart w:id="6" w:name="_Toc2531"/>
      <w:r>
        <w:rPr>
          <w:rFonts w:ascii="Times New Roman" w:hAnsi="Times New Roman" w:eastAsia="方正仿宋_GBK" w:cs="Times New Roman"/>
          <w:szCs w:val="32"/>
        </w:rPr>
        <w:t>打造贵州酸汤、贵州牛肉粉、贵州小吃等特色黔菜美食品牌，发布地方美食地图。鼓励国内外餐饮品牌来黔开设首店，鼓励餐饮企业申报老字号、黑珍珠、米其林等品牌。</w:t>
      </w:r>
      <w:r>
        <w:rPr>
          <w:rFonts w:ascii="Times New Roman" w:hAnsi="Times New Roman" w:eastAsia="方正仿宋_GBK" w:cs="Times New Roman"/>
          <w:szCs w:val="32"/>
          <w:lang w:val="en-US" w:eastAsia="zh-CN"/>
        </w:rPr>
        <w:t>加强</w:t>
      </w:r>
      <w:r>
        <w:rPr>
          <w:rFonts w:ascii="Times New Roman" w:hAnsi="Times New Roman" w:eastAsia="方正仿宋_GBK" w:cs="Times New Roman"/>
          <w:szCs w:val="32"/>
        </w:rPr>
        <w:t>餐饮专业服务人员</w:t>
      </w:r>
      <w:r>
        <w:rPr>
          <w:rFonts w:ascii="Times New Roman" w:hAnsi="Times New Roman" w:eastAsia="方正仿宋_GBK" w:cs="Times New Roman"/>
          <w:szCs w:val="32"/>
          <w:lang w:val="en-US" w:eastAsia="zh-CN"/>
        </w:rPr>
        <w:t>培养，</w:t>
      </w:r>
      <w:r>
        <w:rPr>
          <w:rFonts w:ascii="Times New Roman" w:hAnsi="Times New Roman" w:eastAsia="方正仿宋_GBK" w:cs="Times New Roman"/>
          <w:szCs w:val="32"/>
        </w:rPr>
        <w:t>2025年认定</w:t>
      </w:r>
      <w:r>
        <w:rPr>
          <w:rFonts w:ascii="Times New Roman" w:hAnsi="Times New Roman" w:eastAsia="方正仿宋_GBK" w:cs="Times New Roman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Cs w:val="32"/>
        </w:rPr>
        <w:t>黔菜师傅</w:t>
      </w:r>
      <w:r>
        <w:rPr>
          <w:rFonts w:ascii="Times New Roman" w:hAnsi="Times New Roman" w:eastAsia="方正仿宋_GBK" w:cs="Times New Roman"/>
          <w:szCs w:val="32"/>
          <w:lang w:eastAsia="zh-CN"/>
        </w:rPr>
        <w:t>”2</w:t>
      </w:r>
      <w:r>
        <w:rPr>
          <w:rFonts w:ascii="Times New Roman" w:hAnsi="Times New Roman" w:eastAsia="方正仿宋_GBK" w:cs="Times New Roman"/>
          <w:szCs w:val="32"/>
          <w:lang w:val="en-US" w:eastAsia="zh-CN"/>
        </w:rPr>
        <w:t>50</w:t>
      </w:r>
      <w:r>
        <w:rPr>
          <w:rFonts w:ascii="Times New Roman" w:hAnsi="Times New Roman" w:eastAsia="方正仿宋_GBK" w:cs="Times New Roman"/>
          <w:szCs w:val="32"/>
        </w:rPr>
        <w:t>人</w:t>
      </w:r>
      <w:r>
        <w:rPr>
          <w:rFonts w:ascii="Times New Roman" w:hAnsi="Times New Roman" w:eastAsia="方正仿宋_GBK" w:cs="Times New Roman"/>
          <w:szCs w:val="32"/>
          <w:lang w:val="en-US" w:eastAsia="zh-CN"/>
        </w:rPr>
        <w:t>以上</w:t>
      </w:r>
      <w:r>
        <w:rPr>
          <w:rFonts w:ascii="Times New Roman" w:hAnsi="Times New Roman" w:eastAsia="方正仿宋_GBK" w:cs="Times New Roman"/>
          <w:szCs w:val="32"/>
        </w:rPr>
        <w:t>；举办</w:t>
      </w:r>
      <w:r>
        <w:rPr>
          <w:rFonts w:ascii="Times New Roman" w:hAnsi="Times New Roman" w:eastAsia="方正仿宋_GBK" w:cs="Times New Roman"/>
        </w:rPr>
        <w:t>“黔菜美食荟”“</w:t>
      </w:r>
      <w:r>
        <w:rPr>
          <w:rFonts w:ascii="Times New Roman" w:hAnsi="Times New Roman" w:eastAsia="方正仿宋_GBK" w:cs="Times New Roman"/>
          <w:szCs w:val="32"/>
        </w:rPr>
        <w:t>钻级酒家消费季</w:t>
      </w:r>
      <w:r>
        <w:rPr>
          <w:rFonts w:ascii="Times New Roman" w:hAnsi="Times New Roman" w:eastAsia="方正仿宋_GBK" w:cs="Times New Roman"/>
        </w:rPr>
        <w:t>”“跟着电影品美食”</w:t>
      </w:r>
      <w:r>
        <w:rPr>
          <w:rFonts w:ascii="Times New Roman" w:hAnsi="Times New Roman" w:eastAsia="方正仿宋_GBK" w:cs="Times New Roman"/>
          <w:szCs w:val="32"/>
        </w:rPr>
        <w:t>等主题促销活动9场以上，组织不少于20家餐饮企业申报钻级酒家。</w:t>
      </w:r>
    </w:p>
    <w:bookmarkEnd w:id="6"/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adjustRightInd w:val="0"/>
        <w:snapToGrid/>
        <w:spacing w:line="600" w:lineRule="exact"/>
        <w:ind w:left="0" w:firstLine="640" w:firstLineChars="200"/>
        <w:contextualSpacing/>
        <w:jc w:val="left"/>
        <w:outlineLvl w:val="2"/>
        <w:rPr>
          <w:rFonts w:ascii="Times New Roman" w:hAnsi="Times New Roman" w:eastAsia="方正仿宋_GBK" w:cs="Times New Roman"/>
        </w:rPr>
      </w:pPr>
      <w:bookmarkStart w:id="7" w:name="_Toc15814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培优住宿服务。</w:t>
      </w:r>
      <w:bookmarkEnd w:id="7"/>
      <w:bookmarkStart w:id="8" w:name="_Toc8857"/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继续开展优质酱酒扶持旅游星级饭店专项活动。鼓励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引入多元资本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与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民宿建设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运营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开拓民宿+美食、演艺、文化、中医药等消费模式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发布贵州省民宿酒店导览指南，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运用大数据、人工智能等新技术为游客精准推送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个性化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住宿建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议，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优化供需匹配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2025年，评定等级民宿150家以上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bookmarkEnd w:id="8"/>
      <w:bookmarkStart w:id="9" w:name="_Toc24603"/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adjustRightInd w:val="0"/>
        <w:snapToGrid/>
        <w:spacing w:line="600" w:lineRule="exact"/>
        <w:ind w:left="0" w:firstLine="640" w:firstLineChars="200"/>
        <w:contextualSpacing/>
        <w:jc w:val="left"/>
        <w:outlineLvl w:val="2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改善</w:t>
      </w: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出行服务。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完善交通枢纽配套设施建设，优化调整城区至景区、夜间</w:t>
      </w:r>
      <w:r>
        <w:rPr>
          <w:rFonts w:ascii="Times New Roman" w:hAnsi="Times New Roman" w:eastAsia="方正仿宋_GBK" w:cs="Times New Roman"/>
        </w:rPr>
        <w:t>消费集聚区等人流密集地进出动线及停车位布局，按需规划开通景区间直通车线路。鼓励企业开展异地租还车业务。</w:t>
      </w:r>
    </w:p>
    <w:bookmarkEnd w:id="9"/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firstLine="640" w:firstLineChars="200"/>
        <w:contextualSpacing/>
        <w:jc w:val="left"/>
        <w:textAlignment w:val="auto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10" w:name="_Toc10068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（十三）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完善</w:t>
      </w: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家庭服务。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结合城市社区便民一刻钟生活圈，发展社区嵌入式托育、餐饮、家政、维修等居民服务网点，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整合各类服务资源搭建社区家庭服务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供需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。实施家政创品牌提品质三年行动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highlight w:val="none"/>
        </w:rPr>
        <w:t>推动家政信用体系建设和应用</w:t>
      </w:r>
      <w:r>
        <w:rPr>
          <w:rFonts w:ascii="Times New Roman" w:hAnsi="Times New Roman" w:eastAsia="方正仿宋_GBK" w:cs="Times New Roman"/>
          <w:szCs w:val="32"/>
          <w:highlight w:val="none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鼓励各地发放家居清洁维修、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居家适老化改造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、宠物服务等消费券。</w:t>
      </w:r>
      <w:bookmarkEnd w:id="10"/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黑体" w:cs="Times New Roman"/>
          <w:color w:val="auto"/>
        </w:rPr>
      </w:pPr>
      <w:bookmarkStart w:id="11" w:name="_Toc7906"/>
      <w:r>
        <w:rPr>
          <w:rFonts w:ascii="Times New Roman" w:hAnsi="Times New Roman" w:eastAsia="黑体" w:cs="Times New Roman"/>
          <w:color w:val="auto"/>
          <w:lang w:val="en-US" w:eastAsia="zh-CN"/>
        </w:rPr>
        <w:t>四、激发消费新增长点</w:t>
      </w:r>
      <w:r>
        <w:rPr>
          <w:rFonts w:ascii="Times New Roman" w:hAnsi="Times New Roman" w:eastAsia="黑体" w:cs="Times New Roman"/>
          <w:color w:val="auto"/>
        </w:rPr>
        <w:t>行动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firstLine="640" w:firstLineChars="200"/>
        <w:contextualSpacing/>
        <w:jc w:val="left"/>
        <w:textAlignment w:val="auto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（十四）做优文化旅游。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深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入实施旅游提质发展“四大”行动，丰富赏花品茗、避暑消夏、贵南阳光、南国冰雪、温泉度假等产品，形成“四季宜游，全年宜居”的产品服务体系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实施“引客入黔”奖励办法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设立“文旅消费推荐官”奖励机制，鼓励游客在社交媒体分享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贵州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文旅游玩体验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。实施高速公路分车型、分路段差异化收费政策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。支持贵州旅游数智互联平台建设，推广应用“黄小西”AI智能体使用。实施促进入境旅游发展三年行动，用好240小时免签政策，完善重点涉旅场所国际化服务设施，提升涉外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服务能力。实施外语导游培养计划，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强化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外语导游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信息化保障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运用大数据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云计算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人工智能等新型信息技术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实现外语导游联动共享机制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firstLine="640" w:firstLineChars="200"/>
        <w:contextualSpacing/>
        <w:jc w:val="left"/>
        <w:textAlignment w:val="auto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12" w:name="_Toc13184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（十五）做精体育赛事。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支持各地举办山地越野、马拉松、攀岩、足球、篮球等体育赛事，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支持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利用山体高差和高桥等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资源，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开发低空跳伞、滑翔伞、蹦极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auto"/>
        </w:rPr>
        <w:t>洞穴探险、悬崖速降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等极限运动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体验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推动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兴义、罗甸、红枫湖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、百花湖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水上运动中心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建设，鼓励因地制宜开发漂流、人工水滑道、浆板、皮划艇等水上休闲运动，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打造观山湖、阅山湖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城市水上运动公园，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塑造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贵州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体育赛事旅游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IP。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2025年，举办省级以上体育赛事50场以上，打造体育公园等新型业态融合体旅消费载体3个。</w:t>
      </w:r>
    </w:p>
    <w:bookmarkEnd w:id="12"/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firstLine="640" w:firstLineChars="200"/>
        <w:contextualSpacing/>
        <w:jc w:val="left"/>
        <w:textAlignment w:val="auto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13" w:name="_Toc558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做新演艺经济。</w:t>
      </w:r>
      <w:bookmarkEnd w:id="13"/>
      <w:bookmarkStart w:id="14" w:name="_Toc25563"/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各地挖掘特色文化资源，打造民族歌舞、红色话剧、地方戏曲等演艺产品。鼓励社会资本参与建设专业化演艺场馆，对新建或改造且符合标准的演艺场馆，按规定给予补贴或贷款贴息。支持利用虚拟现实（VR）、增强现实（AR）、全息投影等技术打造新型演艺产品。探索推动演出同餐饮、住宿、旅游等消费场景多元化优惠联动，实现“文体旅商展”协同发展。</w:t>
      </w:r>
      <w:bookmarkEnd w:id="14"/>
      <w:bookmarkStart w:id="15" w:name="_Toc8924"/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2025年举办大型经营性演出活动25场以上。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firstLine="640" w:firstLineChars="200"/>
        <w:contextualSpacing/>
        <w:jc w:val="left"/>
        <w:textAlignment w:val="auto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（十七）拓展教育培训。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规范职业技能、成人学历提升补习、兴趣素养等社会化培训预付式消费管理，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探索发放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培训教育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消费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券。支持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公共实训基地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、文博场馆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开展线上线下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非遗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手工艺、语言文化等民族文化传承培训课程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鼓励各地开设开办成人夜校。</w:t>
      </w:r>
      <w:bookmarkEnd w:id="15"/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firstLine="640" w:firstLineChars="200"/>
        <w:contextualSpacing/>
        <w:jc w:val="left"/>
        <w:textAlignment w:val="auto"/>
        <w:outlineLvl w:val="2"/>
        <w:rPr>
          <w:rFonts w:ascii="Times New Roman" w:hAnsi="Times New Roman" w:eastAsia="方正仿宋_GBK" w:cs="Times New Roman"/>
          <w:lang w:val="en-US" w:eastAsia="zh-CN"/>
        </w:rPr>
      </w:pPr>
      <w:bookmarkStart w:id="16" w:name="_Toc26746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（十八）激活银发消费。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利用闲置资产打造森林康养、滨湖养老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温泉养老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旅居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项目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支持居家、公共交通及公共场所进行适老化改造。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支持各地整合社区养老服务站、医疗机构、家政服务等资源，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强化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贵州智慧养老信息化保障，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推动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线上预约护理、助餐助浴、康复服务等功能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实现。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研发推广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康养、慢游、怀旧游等旅游产品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及中医药保健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养生产品。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支持民办老年教育发展，推动民办老年教育税费减免政策落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地。支持各地积极创新探索“以房养老、以地养老”的农村集中互助养老新模式。</w:t>
      </w:r>
      <w:bookmarkEnd w:id="16"/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firstLine="640" w:firstLineChars="200"/>
        <w:contextualSpacing/>
        <w:jc w:val="both"/>
        <w:textAlignment w:val="auto"/>
        <w:outlineLvl w:val="2"/>
        <w:rPr>
          <w:rFonts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bookmarkStart w:id="17" w:name="_Toc27011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（十九）</w:t>
      </w:r>
      <w:bookmarkStart w:id="18" w:name="OLE_LINK4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智领数字消费。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加快推进数字消费等新型基础设施建设。</w:t>
      </w:r>
      <w:r>
        <w:rPr>
          <w:rFonts w:ascii="Times New Roman" w:hAnsi="Times New Roman" w:eastAsia="方正仿宋_GBK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鼓励企业运用大数据、人工智能等技术挖掘消费者个性化需求，开展定制</w:t>
      </w:r>
      <w:r>
        <w:rPr>
          <w:rFonts w:ascii="Times New Roman" w:hAnsi="Times New Roman" w:eastAsia="方正仿宋_GBK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化</w:t>
      </w:r>
      <w:r>
        <w:rPr>
          <w:rFonts w:ascii="Times New Roman" w:hAnsi="Times New Roman" w:eastAsia="方正仿宋_GBK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生产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。打造国漫影视、数字内容等青年消费热点，促进“人工智能＋消费”。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持续用好电商云仓供应链服务体系，为企业提供集货、加工、配送、网销等全链条服务。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2025年全省网络零售额增长10%左右，认定20家网络零售额百万以上省级电商示范企业。</w:t>
      </w:r>
      <w:bookmarkEnd w:id="11"/>
      <w:bookmarkEnd w:id="17"/>
      <w:bookmarkEnd w:id="18"/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bookmarkStart w:id="19" w:name="_Toc19252"/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（二十）搭建多元消费新场景。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鼓励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利用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社区分散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空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地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、商业中心建筑物顶等城市闲置空间，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嵌入文创、剧场、展览、特色书店、文化餐饮等多元业态，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设计改造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口袋公园、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特色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非标商业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城市文化休闲消费场景。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支持步行街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、百货大楼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等综合商圈围绕精品购物、精致美食、经典旅游、精彩展演四大板块进行升级改造，</w:t>
      </w:r>
      <w:r>
        <w:rPr>
          <w:rFonts w:ascii="Times New Roman" w:hAnsi="Times New Roman" w:eastAsia="方正仿宋_GBK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鼓励公园、商超、餐厅、特色街区等公共场所对城市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服务和生活场景进行游戏化改造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开辟宠物专区，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打造商业融合消费场景</w:t>
      </w:r>
      <w:r>
        <w:rPr>
          <w:rFonts w:ascii="Times New Roman" w:hAnsi="Times New Roman" w:eastAsia="方正仿宋_GBK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持续推进“流光溢彩夜贵州”建设，开发设计夜赏、夜娱、夜宴、夜游、夜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购一条龙夜间消费动线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打造夜间消费场景。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依法依规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开发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溶洞空间，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建设洞穴民宿、洞穴图书馆等特色场所，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举办溶洞音乐节等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活动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围绕文物古迹、历史街区、传统村落、厂矿遗址等打造沉浸体验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式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新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场景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推动“卖酒”向“卖生活方式”转变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构建多元化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酒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生活消费场景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bookmarkEnd w:id="19"/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黑体" w:eastAsia="黑体"/>
        </w:rPr>
      </w:pPr>
      <w:r>
        <w:rPr>
          <w:rFonts w:hint="eastAsia" w:ascii="黑体" w:eastAsia="黑体"/>
        </w:rPr>
        <w:t>五、优化消费环境行动</w:t>
      </w:r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方正仿宋_GBK" w:cs="Times New Roman"/>
          <w:i w:val="0"/>
          <w:iCs w:val="0"/>
          <w:caps w:val="0"/>
          <w:smallCaps w:val="0"/>
          <w:spacing w:val="0"/>
          <w:sz w:val="32"/>
          <w:szCs w:val="32"/>
          <w:shd w:val="clear" w:color="auto" w:fill="auto"/>
        </w:rPr>
      </w:pPr>
      <w:r>
        <w:rPr>
          <w:rFonts w:hint="eastAsia" w:ascii="楷体_GB2312" w:eastAsia="楷体_GB2312"/>
        </w:rPr>
        <w:t>（二十一）保障休息休假时间。</w:t>
      </w:r>
      <w:r>
        <w:rPr>
          <w:rFonts w:ascii="Times New Roman" w:hAnsi="Times New Roman" w:eastAsia="方正仿宋_GBK" w:cs="Times New Roman"/>
          <w:shd w:val="clear" w:color="auto" w:fill="auto"/>
        </w:rPr>
        <w:t>严格落实机关事业单位带薪休假制度，鼓励带薪年休假与小长假连休，推行弹性错峰休假。深化协商协调机制作用，通过集体协商等形式，依法保障劳动者休息休假权益，加强执行情况常态化监督。探索设置中小学春秋假制度。加大贵州少数民族</w:t>
      </w:r>
      <w:r>
        <w:rPr>
          <w:rFonts w:ascii="Times New Roman" w:hAnsi="Times New Roman" w:eastAsia="方正仿宋_GBK" w:cs="Times New Roman"/>
          <w:i w:val="0"/>
          <w:iCs w:val="0"/>
          <w:caps w:val="0"/>
          <w:smallCaps w:val="0"/>
          <w:spacing w:val="0"/>
          <w:sz w:val="32"/>
          <w:szCs w:val="32"/>
          <w:shd w:val="clear" w:color="auto" w:fill="auto"/>
        </w:rPr>
        <w:t>节假日宣传，各少数民族聚居地区地方人民政府，按照各该民族习惯、规定放假，营造浓厚节日氛围。</w:t>
      </w:r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（二十二）改善城乡消费基础设施。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支持贵阳、遵义健全消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费载体和平台，建设区域性消费中心城市。健全生活必需品物资物流设施网络，增强保供体系“平急转换”能力。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支持交通管理数智化改造升级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优化城市道路网络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。推进县域商业体系建设，完善县乡村三级物流配送体系，持续提升快递进村服务质效。培育一批骨干农产品批发市场，完善农产品集散网络。搭建城乡消费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对接平台，发展订单农业、产销一体等对接模式。加大农村地区充电桩建设支持力度，加强对农村和偏远地区信息化基础设施建设投入，2025年底全省自然村千兆光网通达率动态达到100%。</w:t>
      </w:r>
    </w:p>
    <w:p>
      <w:pPr>
        <w:widowControl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2"/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（二十三）强化品牌建设。</w:t>
      </w:r>
      <w:bookmarkStart w:id="20" w:name="_Toc28874"/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省级自主品牌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建设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发展，建立完善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我省特色产品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标准体系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制定山地旅游、民族文化体验、生态康养等特色行业服务标准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体系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推动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“四大文化工程”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融入品牌建设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开展品牌故事征集、文化节等活动。</w:t>
      </w:r>
      <w:bookmarkEnd w:id="20"/>
    </w:p>
    <w:p>
      <w:pPr>
        <w:keepNext w:val="0"/>
        <w:keepLines w:val="0"/>
        <w:widowControl/>
        <w:suppressLineNumbers w:val="0"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（二十四）营造放心消费环境。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eastAsia="zh-CN"/>
        </w:rPr>
        <w:t>实施优化消费环境三年行动，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进一步完善质量标准、信用约束、综合治理、消费维权等制度。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鼓励探索创新预付式消费平台建设。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聚焦食品、药品、旅游等重点消费领域，常态化开展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多部门联合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监督检查，打击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防范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假冒伪劣等违法行为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加强网络经济税收监管和网络消费维权渠道建设，健全网络消费售后保障机制。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畅通消费者投诉举报渠道，及时处理反馈，保障消费者合法权益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六、完善政策支持</w:t>
      </w:r>
    </w:p>
    <w:p>
      <w:pPr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outlineLvl w:val="1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（二十五）发挥财政资金引导作用。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充分运用中央预算内投资等加力支持教育医疗、技能培训、养老托育、文旅体育等领域项目建设，补齐公共服务短板。支持符合条件的消费、文化、旅游等领域项目发行基础设施领域不动产投资信托基金（REITs）。</w:t>
      </w:r>
    </w:p>
    <w:p>
      <w:pPr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outlineLvl w:val="1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（二十六）优化金融服务。</w:t>
      </w:r>
      <w:bookmarkStart w:id="21" w:name="_Toc7529"/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鼓励金融机构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构建成本适当、客群适合、服务适度的消费信贷供需体系，发挥贵州省金融促消费联盟作用，建立金融支持消费恢复扩大的长效机制，进一步整合促销资源，促进金融机构合作，实现资源共享与优势互补，激发消费市场活力。引导和鼓励金融机构积极参与“多彩贵州欢乐购”、消费品以旧换新等促消费活动，丰富信用卡积分兑换内容。</w:t>
      </w:r>
      <w:bookmarkEnd w:id="21"/>
    </w:p>
    <w:p>
      <w:pPr>
        <w:keepNext w:val="0"/>
        <w:keepLines w:val="0"/>
        <w:widowControl/>
        <w:suppressLineNumbers w:val="0"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（二十七）有序减少消费领域限制。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进一步简化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放宽健康养老、托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育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家政等服务领域市场准入条件，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保障各类经营主体平等参与社会集团采购，不得变相设置所有制、商户评级等采购门槛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不影响交通通行情况下，允许在小吃街、步行街等夜间消费集聚区附近划定临时停车点位，鼓励机关事业单位、国有企业周末节假日向社会开放单位停车场。依法依规有序放宽办会办展限制。支持各地推进烟花爆竹燃放“由禁转限”。</w:t>
      </w:r>
    </w:p>
    <w:p>
      <w:pPr>
        <w:keepNext w:val="0"/>
        <w:keepLines w:val="0"/>
        <w:widowControl/>
        <w:suppressLineNumbers w:val="0"/>
        <w:pBdr>
          <w:bottom w:val="single" w:color="FFFFFF" w:sz="4" w:space="31"/>
        </w:pBdr>
        <w:adjustRightInd w:val="0"/>
        <w:spacing w:line="600" w:lineRule="exact"/>
        <w:ind w:left="0" w:firstLine="640" w:firstLineChars="200"/>
        <w:contextualSpacing/>
        <w:jc w:val="left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（二十八）强化消费统计监测。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按照国家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服务消费、消费新业态新模式统计监测制度，开展全口径消费统计，加强买方分地区实物商品网上零售额统计等工作。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ascii="Times New Roman" w:hAnsi="Times New Roman" w:cs="Times New Roman"/>
        <w:sz w:val="28"/>
        <w:szCs w:val="28"/>
      </w:rPr>
    </w:pPr>
    <w:r>
      <w:rPr>
        <w:rStyle w:val="12"/>
        <w:rFonts w:ascii="Times New Roman" w:hAnsi="Times New Roman" w:cs="Times New Roman"/>
        <w:sz w:val="28"/>
        <w:szCs w:val="28"/>
      </w:rPr>
      <w:fldChar w:fldCharType="begin"/>
    </w:r>
    <w:r>
      <w:rPr>
        <w:rStyle w:val="12"/>
        <w:rFonts w:ascii="Times New Roman" w:hAnsi="Times New Roman" w:cs="Times New Roman"/>
        <w:sz w:val="28"/>
        <w:szCs w:val="28"/>
      </w:rPr>
      <w:instrText xml:space="preserve">Page</w:instrText>
    </w:r>
    <w:r>
      <w:rPr>
        <w:rStyle w:val="12"/>
        <w:rFonts w:ascii="Times New Roman" w:hAnsi="Times New Roman" w:cs="Times New Roman"/>
        <w:sz w:val="28"/>
        <w:szCs w:val="28"/>
      </w:rPr>
      <w:fldChar w:fldCharType="separate"/>
    </w:r>
    <w:r>
      <w:rPr>
        <w:rStyle w:val="12"/>
        <w:rFonts w:ascii="Times New Roman" w:hAnsi="Times New Roman" w:cs="Times New Roman"/>
        <w:sz w:val="28"/>
        <w:szCs w:val="28"/>
      </w:rPr>
      <w:t>— 1 —</w:t>
    </w:r>
    <w:r>
      <w:rPr>
        <w:rStyle w:val="12"/>
        <w:rFonts w:ascii="Times New Roman" w:hAnsi="Times New Roman" w:cs="Times New Roman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— 1 —</w: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— 1 —</w: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7598"/>
    <w:multiLevelType w:val="singleLevel"/>
    <w:tmpl w:val="95447598"/>
    <w:lvl w:ilvl="0" w:tentative="0">
      <w:start w:val="16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F6345664"/>
    <w:multiLevelType w:val="singleLevel"/>
    <w:tmpl w:val="F6345664"/>
    <w:lvl w:ilvl="0" w:tentative="0">
      <w:start w:val="1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7FEB3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ESI小标宋-GB1300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after="0" w:line="560" w:lineRule="exact"/>
      <w:ind w:firstLine="200" w:firstLineChars="200"/>
    </w:pPr>
    <w:rPr>
      <w:rFonts w:ascii="黑体" w:eastAsia="黑体" w:cs="黑体"/>
      <w:color w:val="000000"/>
    </w:rPr>
  </w:style>
  <w:style w:type="paragraph" w:styleId="6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next w:val="6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/>
      <w:kern w:val="2"/>
      <w:sz w:val="24"/>
      <w:szCs w:val="21"/>
      <w:lang w:val="en-US" w:eastAsia="zh-CN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4">
    <w:name w:val="正文1"/>
    <w:next w:val="15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customStyle="1" w:styleId="15">
    <w:name w:val="正文-公1"/>
    <w:basedOn w:val="1"/>
    <w:next w:val="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6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/>
    <sectPr xmlns="http://www.yozosoft.com.cn/officeDocument/2016/customData" pgNumType="\* ArabicDash2"/>
  </customProps>
</customData>
</file>

<file path=customXml/itemProps1.xml><?xml version="1.0" encoding="utf-8"?>
<ds:datastoreItem xmlns:ds="http://schemas.openxmlformats.org/officeDocument/2006/customXml" ds:itemID="{89BAB06E-0337-4CAB-8898-8EC708185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4949</Words>
  <Characters>5019</Characters>
  <Lines>216</Lines>
  <Paragraphs>37</Paragraphs>
  <TotalTime>30</TotalTime>
  <ScaleCrop>false</ScaleCrop>
  <LinksUpToDate>false</LinksUpToDate>
  <CharactersWithSpaces>5715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2025-03-19T17:55:00Z</dcterms:created>
  <dc:creator>nuo xu</dc:creator>
  <cp:lastModifiedBy>kmwzb05</cp:lastModifiedBy>
  <cp:lastPrinted>2025-04-16T11:50:00Z</cp:lastPrinted>
  <dcterms:modified xsi:type="dcterms:W3CDTF">2025-04-17T18:03:14Z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7DE05805C4098F30E2D1006802E28BBF</vt:lpwstr>
  </property>
  <property fmtid="{D5CDD505-2E9C-101B-9397-08002B2CF9AE}" pid="4" name="KSOTemplateDocerSaveRecord">
    <vt:lpwstr>eyJoZGlkIjoiNGFkNjFiZjc2ZjAyZWY5NDUxOGMxZjc1ODdiZTU2MDgifQ==</vt:lpwstr>
  </property>
</Properties>
</file>