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A9A4D">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14:paraId="502C3387">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ascii="Arial"/>
          <w:color w:val="auto"/>
          <w:sz w:val="32"/>
          <w:szCs w:val="32"/>
          <w:highlight w:val="none"/>
        </w:rPr>
      </w:pPr>
    </w:p>
    <w:p w14:paraId="24267E3B">
      <w:pPr>
        <w:keepNext w:val="0"/>
        <w:keepLines w:val="0"/>
        <w:pageBreakBefore w:val="0"/>
        <w:widowControl w:val="0"/>
        <w:kinsoku w:val="0"/>
        <w:wordWrap/>
        <w:overflowPunct/>
        <w:topLinePunct w:val="0"/>
        <w:autoSpaceDE w:val="0"/>
        <w:autoSpaceDN w:val="0"/>
        <w:bidi w:val="0"/>
        <w:adjustRightInd w:val="0"/>
        <w:snapToGrid w:val="0"/>
        <w:spacing w:line="600" w:lineRule="exact"/>
        <w:ind w:left="348"/>
        <w:jc w:val="center"/>
        <w:textAlignment w:val="baseline"/>
        <w:outlineLvl w:val="0"/>
        <w:rPr>
          <w:rFonts w:hint="eastAsia" w:ascii="方正小标宋简体" w:hAnsi="方正小标宋简体" w:eastAsia="方正小标宋简体" w:cs="方正小标宋简体"/>
          <w:color w:val="auto"/>
          <w:spacing w:val="-2"/>
          <w:sz w:val="44"/>
          <w:szCs w:val="44"/>
          <w:highlight w:val="none"/>
        </w:rPr>
      </w:pPr>
      <w:r>
        <w:rPr>
          <w:rFonts w:hint="eastAsia" w:ascii="方正小标宋简体" w:hAnsi="方正小标宋简体" w:eastAsia="方正小标宋简体" w:cs="方正小标宋简体"/>
          <w:color w:val="auto"/>
          <w:spacing w:val="-2"/>
          <w:sz w:val="44"/>
          <w:szCs w:val="44"/>
          <w:highlight w:val="none"/>
          <w:lang w:eastAsia="zh-CN"/>
        </w:rPr>
        <w:t>贵州省</w:t>
      </w:r>
      <w:r>
        <w:rPr>
          <w:rFonts w:hint="eastAsia" w:ascii="方正小标宋简体" w:hAnsi="方正小标宋简体" w:eastAsia="方正小标宋简体" w:cs="方正小标宋简体"/>
          <w:color w:val="auto"/>
          <w:spacing w:val="-2"/>
          <w:sz w:val="44"/>
          <w:szCs w:val="44"/>
          <w:highlight w:val="none"/>
        </w:rPr>
        <w:t>固定资产投资项目节能审查</w:t>
      </w:r>
    </w:p>
    <w:p w14:paraId="3D64F512">
      <w:pPr>
        <w:keepNext w:val="0"/>
        <w:keepLines w:val="0"/>
        <w:pageBreakBefore w:val="0"/>
        <w:widowControl w:val="0"/>
        <w:kinsoku w:val="0"/>
        <w:wordWrap/>
        <w:overflowPunct/>
        <w:topLinePunct w:val="0"/>
        <w:autoSpaceDE w:val="0"/>
        <w:autoSpaceDN w:val="0"/>
        <w:bidi w:val="0"/>
        <w:adjustRightInd w:val="0"/>
        <w:snapToGrid w:val="0"/>
        <w:spacing w:line="600" w:lineRule="exact"/>
        <w:ind w:left="348"/>
        <w:jc w:val="center"/>
        <w:textAlignment w:val="baseline"/>
        <w:outlineLvl w:val="0"/>
        <w:rPr>
          <w:rFonts w:ascii="微软雅黑" w:hAnsi="微软雅黑" w:eastAsia="微软雅黑" w:cs="微软雅黑"/>
          <w:color w:val="auto"/>
          <w:sz w:val="44"/>
          <w:szCs w:val="44"/>
          <w:highlight w:val="none"/>
        </w:rPr>
      </w:pPr>
      <w:r>
        <w:rPr>
          <w:rFonts w:hint="eastAsia" w:ascii="方正小标宋简体" w:hAnsi="方正小标宋简体" w:eastAsia="方正小标宋简体" w:cs="方正小标宋简体"/>
          <w:color w:val="auto"/>
          <w:spacing w:val="-2"/>
          <w:sz w:val="44"/>
          <w:szCs w:val="44"/>
          <w:highlight w:val="none"/>
        </w:rPr>
        <w:t>和碳排放评价</w:t>
      </w:r>
      <w:r>
        <w:rPr>
          <w:rFonts w:hint="eastAsia" w:ascii="方正小标宋简体" w:hAnsi="方正小标宋简体" w:eastAsia="方正小标宋简体" w:cs="方正小标宋简体"/>
          <w:color w:val="auto"/>
          <w:spacing w:val="-2"/>
          <w:sz w:val="44"/>
          <w:szCs w:val="44"/>
          <w:highlight w:val="none"/>
          <w:lang w:eastAsia="zh-CN"/>
        </w:rPr>
        <w:t>实施</w:t>
      </w:r>
      <w:r>
        <w:rPr>
          <w:rFonts w:hint="eastAsia" w:ascii="方正小标宋简体" w:hAnsi="方正小标宋简体" w:eastAsia="方正小标宋简体" w:cs="方正小标宋简体"/>
          <w:color w:val="auto"/>
          <w:spacing w:val="-2"/>
          <w:sz w:val="44"/>
          <w:szCs w:val="44"/>
          <w:highlight w:val="none"/>
        </w:rPr>
        <w:t>办法</w:t>
      </w:r>
    </w:p>
    <w:p w14:paraId="4DCF1278">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auto"/>
          <w:sz w:val="44"/>
          <w:szCs w:val="44"/>
          <w:highlight w:val="none"/>
          <w:lang w:eastAsia="zh-CN"/>
        </w:rPr>
      </w:pPr>
      <w:r>
        <w:rPr>
          <w:rFonts w:hint="eastAsia" w:ascii="仿宋_GB2312" w:hAnsi="仿宋_GB2312" w:eastAsia="仿宋_GB2312" w:cs="仿宋_GB2312"/>
          <w:color w:val="auto"/>
          <w:sz w:val="32"/>
          <w:szCs w:val="32"/>
          <w:highlight w:val="none"/>
          <w:lang w:val="en-US" w:eastAsia="zh-CN"/>
        </w:rPr>
        <w:t>（征求意见稿）</w:t>
      </w:r>
    </w:p>
    <w:p w14:paraId="53D2F865">
      <w:pPr>
        <w:keepNext w:val="0"/>
        <w:keepLines w:val="0"/>
        <w:pageBreakBefore w:val="0"/>
        <w:widowControl w:val="0"/>
        <w:kinsoku w:val="0"/>
        <w:wordWrap/>
        <w:overflowPunct/>
        <w:topLinePunct w:val="0"/>
        <w:autoSpaceDE w:val="0"/>
        <w:autoSpaceDN w:val="0"/>
        <w:bidi w:val="0"/>
        <w:adjustRightInd w:val="0"/>
        <w:snapToGrid w:val="0"/>
        <w:spacing w:line="600" w:lineRule="exact"/>
        <w:jc w:val="both"/>
        <w:textAlignment w:val="baseline"/>
        <w:rPr>
          <w:rFonts w:ascii="Arial"/>
          <w:color w:val="auto"/>
          <w:sz w:val="32"/>
          <w:szCs w:val="32"/>
          <w:highlight w:val="none"/>
        </w:rPr>
      </w:pPr>
    </w:p>
    <w:p w14:paraId="47D6BC50">
      <w:pPr>
        <w:keepNext w:val="0"/>
        <w:keepLines w:val="0"/>
        <w:pageBreakBefore w:val="0"/>
        <w:widowControl w:val="0"/>
        <w:kinsoku w:val="0"/>
        <w:wordWrap/>
        <w:overflowPunct/>
        <w:topLinePunct w:val="0"/>
        <w:autoSpaceDE w:val="0"/>
        <w:autoSpaceDN w:val="0"/>
        <w:bidi w:val="0"/>
        <w:adjustRightInd w:val="0"/>
        <w:snapToGrid w:val="0"/>
        <w:spacing w:line="600" w:lineRule="exact"/>
        <w:ind w:left="0" w:firstLine="608" w:firstLineChars="200"/>
        <w:jc w:val="center"/>
        <w:textAlignment w:val="baseline"/>
        <w:outlineLvl w:val="1"/>
        <w:rPr>
          <w:rFonts w:ascii="Times New Roman" w:hAnsi="Times New Roman" w:eastAsia="黑体" w:cs="Times New Roman"/>
          <w:color w:val="auto"/>
          <w:sz w:val="32"/>
          <w:szCs w:val="32"/>
          <w:highlight w:val="none"/>
        </w:rPr>
      </w:pPr>
      <w:r>
        <w:rPr>
          <w:rFonts w:ascii="Times New Roman" w:hAnsi="Times New Roman" w:eastAsia="黑体" w:cs="Times New Roman"/>
          <w:color w:val="auto"/>
          <w:spacing w:val="-8"/>
          <w:sz w:val="32"/>
          <w:szCs w:val="32"/>
          <w:highlight w:val="none"/>
        </w:rPr>
        <w:t>第一章</w:t>
      </w:r>
      <w:r>
        <w:rPr>
          <w:rFonts w:ascii="Times New Roman" w:hAnsi="Times New Roman" w:eastAsia="黑体" w:cs="Times New Roman"/>
          <w:color w:val="auto"/>
          <w:spacing w:val="11"/>
          <w:sz w:val="32"/>
          <w:szCs w:val="32"/>
          <w:highlight w:val="none"/>
        </w:rPr>
        <w:t xml:space="preserve">  </w:t>
      </w:r>
      <w:r>
        <w:rPr>
          <w:rFonts w:ascii="Times New Roman" w:hAnsi="Times New Roman" w:eastAsia="黑体" w:cs="Times New Roman"/>
          <w:color w:val="auto"/>
          <w:spacing w:val="-8"/>
          <w:sz w:val="32"/>
          <w:szCs w:val="32"/>
          <w:highlight w:val="none"/>
        </w:rPr>
        <w:t>总则</w:t>
      </w:r>
    </w:p>
    <w:p w14:paraId="0129863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4"/>
          <w:sz w:val="32"/>
          <w:szCs w:val="32"/>
          <w:highlight w:val="none"/>
        </w:rPr>
        <w:t>第一条</w:t>
      </w:r>
      <w:r>
        <w:rPr>
          <w:rFonts w:hint="default" w:ascii="Times New Roman" w:hAnsi="Times New Roman" w:eastAsia="仿宋_GB2312" w:cs="Times New Roman"/>
          <w:color w:val="auto"/>
          <w:spacing w:val="4"/>
          <w:sz w:val="32"/>
          <w:szCs w:val="32"/>
          <w:highlight w:val="none"/>
        </w:rPr>
        <w:t xml:space="preserve"> </w:t>
      </w:r>
      <w:r>
        <w:rPr>
          <w:rFonts w:hint="default" w:ascii="Times New Roman" w:hAnsi="Times New Roman" w:eastAsia="仿宋_GB2312" w:cs="Times New Roman"/>
          <w:color w:val="auto"/>
          <w:spacing w:val="0"/>
          <w:sz w:val="32"/>
          <w:szCs w:val="32"/>
          <w:highlight w:val="none"/>
        </w:rPr>
        <w:t>为建立能耗双控向碳排放双控全面转型新机制，加强固定资产投资项目能源消费和碳排放管理，根据《中华人民共和</w:t>
      </w:r>
      <w:r>
        <w:rPr>
          <w:rFonts w:hint="default" w:ascii="Times New Roman" w:hAnsi="Times New Roman" w:eastAsia="仿宋_GB2312" w:cs="Times New Roman"/>
          <w:color w:val="auto"/>
          <w:sz w:val="32"/>
          <w:szCs w:val="32"/>
          <w:highlight w:val="none"/>
        </w:rPr>
        <w:t>国能源法》《中华人民共和国节约能源法》《中华人民共和国行</w:t>
      </w:r>
      <w:r>
        <w:rPr>
          <w:rFonts w:hint="default" w:ascii="Times New Roman" w:hAnsi="Times New Roman" w:eastAsia="仿宋_GB2312" w:cs="Times New Roman"/>
          <w:color w:val="auto"/>
          <w:spacing w:val="0"/>
          <w:sz w:val="32"/>
          <w:szCs w:val="32"/>
          <w:highlight w:val="none"/>
        </w:rPr>
        <w:t>政许可法》《民用建筑节能条例》《公共机构节能条例》《固定资产投资项目节能审查和碳排放评价办法》</w:t>
      </w:r>
      <w:r>
        <w:rPr>
          <w:rFonts w:hint="eastAsia" w:ascii="Times New Roman" w:hAnsi="Times New Roman" w:eastAsia="仿宋_GB2312" w:cs="Times New Roman"/>
          <w:color w:val="auto"/>
          <w:spacing w:val="0"/>
          <w:sz w:val="32"/>
          <w:szCs w:val="32"/>
          <w:highlight w:val="none"/>
          <w:lang w:eastAsia="zh-CN"/>
        </w:rPr>
        <w:t>《贵州省节约能源条例》</w:t>
      </w:r>
      <w:r>
        <w:rPr>
          <w:rFonts w:hint="default" w:ascii="Times New Roman" w:hAnsi="Times New Roman" w:eastAsia="仿宋_GB2312" w:cs="Times New Roman"/>
          <w:color w:val="auto"/>
          <w:spacing w:val="0"/>
          <w:sz w:val="32"/>
          <w:szCs w:val="32"/>
          <w:highlight w:val="none"/>
        </w:rPr>
        <w:t>等有关法律法规</w:t>
      </w:r>
      <w:r>
        <w:rPr>
          <w:rFonts w:hint="default" w:ascii="Times New Roman" w:hAnsi="Times New Roman" w:eastAsia="仿宋_GB2312" w:cs="Times New Roman"/>
          <w:color w:val="auto"/>
          <w:spacing w:val="0"/>
          <w:sz w:val="32"/>
          <w:szCs w:val="32"/>
          <w:highlight w:val="none"/>
          <w:lang w:eastAsia="zh-CN"/>
        </w:rPr>
        <w:t>，结合我省实际</w:t>
      </w:r>
      <w:r>
        <w:rPr>
          <w:rFonts w:hint="default" w:ascii="Times New Roman" w:hAnsi="Times New Roman" w:eastAsia="仿宋_GB2312" w:cs="Times New Roman"/>
          <w:color w:val="auto"/>
          <w:spacing w:val="0"/>
          <w:sz w:val="32"/>
          <w:szCs w:val="32"/>
          <w:highlight w:val="none"/>
        </w:rPr>
        <w:t>，制定本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w:t>
      </w:r>
    </w:p>
    <w:p w14:paraId="465674F6">
      <w:pPr>
        <w:pStyle w:val="2"/>
        <w:keepNext w:val="0"/>
        <w:keepLines w:val="0"/>
        <w:pageBreakBefore w:val="0"/>
        <w:widowControl w:val="0"/>
        <w:kinsoku/>
        <w:wordWrap/>
        <w:overflowPunct/>
        <w:topLinePunct w:val="0"/>
        <w:autoSpaceDE/>
        <w:autoSpaceDN/>
        <w:bidi w:val="0"/>
        <w:adjustRightInd w:val="0"/>
        <w:snapToGrid w:val="0"/>
        <w:spacing w:line="600" w:lineRule="exact"/>
        <w:ind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4"/>
          <w:sz w:val="32"/>
          <w:szCs w:val="32"/>
          <w:highlight w:val="none"/>
        </w:rPr>
        <w:t>第二条</w:t>
      </w:r>
      <w:r>
        <w:rPr>
          <w:rFonts w:hint="default" w:ascii="Times New Roman" w:hAnsi="Times New Roman" w:eastAsia="仿宋_GB2312" w:cs="Times New Roman"/>
          <w:color w:val="auto"/>
          <w:spacing w:val="4"/>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本实施办法</w:t>
      </w:r>
      <w:r>
        <w:rPr>
          <w:rFonts w:hint="default" w:ascii="Times New Roman" w:hAnsi="Times New Roman" w:eastAsia="仿宋_GB2312" w:cs="Times New Roman"/>
          <w:color w:val="auto"/>
          <w:spacing w:val="0"/>
          <w:sz w:val="32"/>
          <w:szCs w:val="32"/>
          <w:highlight w:val="none"/>
        </w:rPr>
        <w:t>适用于</w:t>
      </w:r>
      <w:r>
        <w:rPr>
          <w:rFonts w:hint="eastAsia" w:ascii="Times New Roman" w:hAnsi="Times New Roman" w:eastAsia="仿宋_GB2312" w:cs="Times New Roman"/>
          <w:color w:val="auto"/>
          <w:spacing w:val="0"/>
          <w:sz w:val="32"/>
          <w:szCs w:val="32"/>
          <w:highlight w:val="none"/>
          <w:lang w:eastAsia="zh-CN"/>
        </w:rPr>
        <w:t>贵州省</w:t>
      </w:r>
      <w:r>
        <w:rPr>
          <w:rFonts w:hint="default" w:ascii="Times New Roman" w:hAnsi="Times New Roman" w:eastAsia="仿宋_GB2312" w:cs="Times New Roman"/>
          <w:color w:val="auto"/>
          <w:spacing w:val="0"/>
          <w:sz w:val="32"/>
          <w:szCs w:val="32"/>
          <w:highlight w:val="none"/>
        </w:rPr>
        <w:t>各级人民政府投资主管部门管理的在</w:t>
      </w:r>
      <w:r>
        <w:rPr>
          <w:rFonts w:hint="default" w:ascii="Times New Roman" w:hAnsi="Times New Roman" w:eastAsia="仿宋_GB2312" w:cs="Times New Roman"/>
          <w:color w:val="auto"/>
          <w:spacing w:val="0"/>
          <w:sz w:val="32"/>
          <w:szCs w:val="32"/>
          <w:highlight w:val="none"/>
          <w:lang w:eastAsia="zh-CN"/>
        </w:rPr>
        <w:t>贵州省</w:t>
      </w:r>
      <w:r>
        <w:rPr>
          <w:rFonts w:hint="default" w:ascii="Times New Roman" w:hAnsi="Times New Roman" w:eastAsia="仿宋_GB2312" w:cs="Times New Roman"/>
          <w:color w:val="auto"/>
          <w:spacing w:val="0"/>
          <w:sz w:val="32"/>
          <w:szCs w:val="32"/>
          <w:highlight w:val="none"/>
        </w:rPr>
        <w:t>境内建设的固定资产投资项目，包括新建、扩建、改建和技术改造等项目。本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办法所称节能审查，是指根据节能法律法规、政策标准等，对项目能源消费、能效水平及节能措施等情况进行审查，并形成审查意见的行为。本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办法所称碳排放评价，是指在对项目进行节能审查时，按照碳排放双控要求同步对项目碳排放水平、实施影响和降碳措施等进行评价，并形成评价结果的行为。项目碳排放评价结果纳入项目节能审查意见。</w:t>
      </w:r>
    </w:p>
    <w:p w14:paraId="10E2E2FC">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default" w:ascii="Times New Roman" w:hAnsi="Times New Roman" w:eastAsia="仿宋_GB2312" w:cs="Times New Roman"/>
          <w:color w:val="auto"/>
          <w:spacing w:val="-3"/>
          <w:sz w:val="32"/>
          <w:szCs w:val="32"/>
          <w:highlight w:val="none"/>
        </w:rPr>
      </w:pPr>
      <w:r>
        <w:rPr>
          <w:rFonts w:hint="default" w:ascii="Times New Roman" w:hAnsi="Times New Roman" w:eastAsia="黑体" w:cs="Times New Roman"/>
          <w:color w:val="auto"/>
          <w:spacing w:val="1"/>
          <w:sz w:val="32"/>
          <w:szCs w:val="32"/>
          <w:highlight w:val="none"/>
        </w:rPr>
        <w:t>第三条</w:t>
      </w:r>
      <w:r>
        <w:rPr>
          <w:rFonts w:hint="default" w:ascii="Times New Roman" w:hAnsi="Times New Roman" w:eastAsia="仿宋_GB2312" w:cs="Times New Roman"/>
          <w:color w:val="auto"/>
          <w:spacing w:val="83"/>
          <w:sz w:val="32"/>
          <w:szCs w:val="32"/>
          <w:highlight w:val="none"/>
        </w:rPr>
        <w:t xml:space="preserve"> </w:t>
      </w:r>
      <w:r>
        <w:rPr>
          <w:rFonts w:hint="default" w:ascii="Times New Roman" w:hAnsi="Times New Roman" w:eastAsia="仿宋_GB2312" w:cs="Times New Roman"/>
          <w:color w:val="auto"/>
          <w:spacing w:val="0"/>
          <w:sz w:val="32"/>
          <w:szCs w:val="32"/>
          <w:highlight w:val="none"/>
        </w:rPr>
        <w:t>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w:t>
      </w:r>
      <w:r>
        <w:rPr>
          <w:rFonts w:hint="default" w:ascii="Times New Roman" w:hAnsi="Times New Roman" w:eastAsia="仿宋_GB2312" w:cs="Times New Roman"/>
          <w:color w:val="auto"/>
          <w:spacing w:val="0"/>
          <w:sz w:val="32"/>
          <w:szCs w:val="32"/>
          <w:highlight w:val="none"/>
          <w:lang w:eastAsia="zh-CN"/>
        </w:rPr>
        <w:t>实施</w:t>
      </w:r>
      <w:r>
        <w:rPr>
          <w:rFonts w:hint="default" w:ascii="Times New Roman" w:hAnsi="Times New Roman" w:eastAsia="仿宋_GB2312" w:cs="Times New Roman"/>
          <w:color w:val="auto"/>
          <w:spacing w:val="0"/>
          <w:sz w:val="32"/>
          <w:szCs w:val="32"/>
          <w:highlight w:val="none"/>
        </w:rPr>
        <w:t>办法规定进行节能审查，或节能审查未通过的项目，建设单位不得开工建设，已经建成的不得投入生产、使用。</w:t>
      </w:r>
    </w:p>
    <w:p w14:paraId="08B8E0AA">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1"/>
          <w:sz w:val="32"/>
          <w:szCs w:val="32"/>
          <w:highlight w:val="none"/>
        </w:rPr>
        <w:t>第四条</w:t>
      </w:r>
      <w:r>
        <w:rPr>
          <w:rFonts w:hint="default" w:ascii="Times New Roman" w:hAnsi="Times New Roman" w:eastAsia="仿宋_GB2312" w:cs="Times New Roman"/>
          <w:color w:val="auto"/>
          <w:spacing w:val="81"/>
          <w:sz w:val="32"/>
          <w:szCs w:val="32"/>
          <w:highlight w:val="none"/>
        </w:rPr>
        <w:t xml:space="preserve"> </w:t>
      </w:r>
      <w:r>
        <w:rPr>
          <w:rFonts w:hint="default" w:ascii="Times New Roman" w:hAnsi="Times New Roman" w:eastAsia="仿宋_GB2312" w:cs="Times New Roman"/>
          <w:color w:val="auto"/>
          <w:spacing w:val="0"/>
          <w:sz w:val="32"/>
          <w:szCs w:val="32"/>
          <w:highlight w:val="none"/>
        </w:rPr>
        <w:t>固定资产投资项目节能审查</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验收）</w:t>
      </w:r>
      <w:r>
        <w:rPr>
          <w:rFonts w:hint="default" w:ascii="Times New Roman" w:hAnsi="Times New Roman" w:eastAsia="仿宋_GB2312" w:cs="Times New Roman"/>
          <w:color w:val="auto"/>
          <w:spacing w:val="0"/>
          <w:sz w:val="32"/>
          <w:szCs w:val="32"/>
          <w:highlight w:val="none"/>
        </w:rPr>
        <w:t>相关工作经费，按照有关规定纳入部门预算，并按照规定程序向同级财政部门申请。对项目进行节能审查</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val="en-US" w:eastAsia="zh-CN"/>
        </w:rPr>
        <w:t>验收）</w:t>
      </w:r>
      <w:r>
        <w:rPr>
          <w:rFonts w:hint="default" w:ascii="Times New Roman" w:hAnsi="Times New Roman" w:eastAsia="仿宋_GB2312" w:cs="Times New Roman"/>
          <w:color w:val="auto"/>
          <w:spacing w:val="0"/>
          <w:sz w:val="32"/>
          <w:szCs w:val="32"/>
          <w:highlight w:val="none"/>
        </w:rPr>
        <w:t>不得收取任何费用。</w:t>
      </w:r>
    </w:p>
    <w:p w14:paraId="7B2CADF1">
      <w:pPr>
        <w:keepNext w:val="0"/>
        <w:keepLines w:val="0"/>
        <w:pageBreakBefore w:val="0"/>
        <w:widowControl w:val="0"/>
        <w:kinsoku/>
        <w:wordWrap/>
        <w:overflowPunct/>
        <w:topLinePunct w:val="0"/>
        <w:autoSpaceDE/>
        <w:autoSpaceDN/>
        <w:bidi w:val="0"/>
        <w:adjustRightInd w:val="0"/>
        <w:snapToGrid w:val="0"/>
        <w:spacing w:line="600" w:lineRule="exact"/>
        <w:ind w:left="0" w:firstLine="632" w:firstLineChars="200"/>
        <w:jc w:val="center"/>
        <w:textAlignment w:val="baseline"/>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第二章  管理职责</w:t>
      </w:r>
    </w:p>
    <w:p w14:paraId="3B5C9D15">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第五条</w:t>
      </w:r>
      <w:r>
        <w:rPr>
          <w:rFonts w:hint="default" w:ascii="Times New Roman" w:hAnsi="Times New Roman" w:eastAsia="仿宋_GB2312" w:cs="Times New Roman"/>
          <w:color w:val="auto"/>
          <w:spacing w:val="61"/>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省</w:t>
      </w:r>
      <w:r>
        <w:rPr>
          <w:rFonts w:hint="default" w:ascii="Times New Roman" w:hAnsi="Times New Roman" w:eastAsia="仿宋_GB2312" w:cs="Times New Roman"/>
          <w:color w:val="auto"/>
          <w:spacing w:val="0"/>
          <w:sz w:val="32"/>
          <w:szCs w:val="32"/>
          <w:highlight w:val="none"/>
        </w:rPr>
        <w:t>发展改革委</w:t>
      </w:r>
      <w:r>
        <w:rPr>
          <w:rFonts w:hint="eastAsia" w:ascii="Times New Roman" w:hAnsi="Times New Roman" w:eastAsia="仿宋_GB2312" w:cs="Times New Roman"/>
          <w:color w:val="auto"/>
          <w:spacing w:val="0"/>
          <w:sz w:val="32"/>
          <w:szCs w:val="32"/>
          <w:highlight w:val="none"/>
          <w:lang w:eastAsia="zh-CN"/>
        </w:rPr>
        <w:t>负责全省固定资产投资项目节能审查工作的总体指导和统筹协调，会同</w:t>
      </w:r>
      <w:r>
        <w:rPr>
          <w:rFonts w:hint="default" w:ascii="Times New Roman" w:hAnsi="Times New Roman" w:eastAsia="仿宋_GB2312" w:cs="Times New Roman"/>
          <w:color w:val="auto"/>
          <w:spacing w:val="0"/>
          <w:sz w:val="32"/>
          <w:szCs w:val="32"/>
          <w:highlight w:val="none"/>
          <w:lang w:val="en-US" w:eastAsia="zh-CN"/>
        </w:rPr>
        <w:t>省工业和信息化厅</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省能源局</w:t>
      </w:r>
      <w:r>
        <w:rPr>
          <w:rFonts w:hint="default" w:ascii="Times New Roman" w:hAnsi="Times New Roman" w:eastAsia="仿宋_GB2312" w:cs="Times New Roman"/>
          <w:color w:val="auto"/>
          <w:spacing w:val="0"/>
          <w:sz w:val="32"/>
          <w:szCs w:val="32"/>
          <w:highlight w:val="none"/>
        </w:rPr>
        <w:t>负责制定节能审查的相关</w:t>
      </w:r>
      <w:r>
        <w:rPr>
          <w:rFonts w:hint="eastAsia" w:ascii="Times New Roman" w:hAnsi="Times New Roman" w:eastAsia="仿宋_GB2312" w:cs="Times New Roman"/>
          <w:color w:val="auto"/>
          <w:spacing w:val="0"/>
          <w:sz w:val="32"/>
          <w:szCs w:val="32"/>
          <w:highlight w:val="none"/>
          <w:lang w:eastAsia="zh-CN"/>
        </w:rPr>
        <w:t>配套政策</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组织</w:t>
      </w:r>
      <w:r>
        <w:rPr>
          <w:rFonts w:hint="default" w:ascii="Times New Roman" w:hAnsi="Times New Roman" w:eastAsia="仿宋_GB2312" w:cs="Times New Roman"/>
          <w:color w:val="auto"/>
          <w:spacing w:val="0"/>
          <w:sz w:val="32"/>
          <w:szCs w:val="32"/>
          <w:highlight w:val="none"/>
        </w:rPr>
        <w:t>开展业务培训，依据各地能源消费和碳排放形势、节能降碳目标完成情况等，对各地节能审查工作进行督导。</w:t>
      </w:r>
    </w:p>
    <w:p w14:paraId="186ED7CC">
      <w:pPr>
        <w:pStyle w:val="2"/>
        <w:keepNext w:val="0"/>
        <w:keepLines w:val="0"/>
        <w:pageBreakBefore w:val="0"/>
        <w:widowControl w:val="0"/>
        <w:kinsoku/>
        <w:wordWrap/>
        <w:overflowPunct/>
        <w:topLinePunct w:val="0"/>
        <w:autoSpaceDE/>
        <w:autoSpaceDN/>
        <w:bidi w:val="0"/>
        <w:adjustRightInd w:val="0"/>
        <w:snapToGrid w:val="0"/>
        <w:spacing w:line="600" w:lineRule="exact"/>
        <w:ind w:firstLine="656" w:firstLineChars="200"/>
        <w:jc w:val="both"/>
        <w:textAlignment w:val="baseline"/>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pacing w:val="4"/>
          <w:sz w:val="32"/>
          <w:szCs w:val="32"/>
          <w:highlight w:val="none"/>
        </w:rPr>
        <w:t>第六条</w:t>
      </w:r>
      <w:r>
        <w:rPr>
          <w:rFonts w:hint="default" w:ascii="Times New Roman" w:hAnsi="Times New Roman" w:eastAsia="仿宋_GB2312" w:cs="Times New Roman"/>
          <w:color w:val="auto"/>
          <w:spacing w:val="6"/>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地方各级人民政府管理节能工作的部门应会同有关部门，根据本地节能降碳工作实际，加强对节能审查工作的总体指导和统筹协调，坚持节约优先、能效引领，强化节能降碳指标管理，合理控制化石能源消费，坚决遏制高耗能、高排放、低水平项目盲目上马，积极稳妥推进碳达峰碳中和。</w:t>
      </w:r>
    </w:p>
    <w:p w14:paraId="0689303D">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76"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黑体" w:cs="Times New Roman"/>
          <w:color w:val="auto"/>
          <w:spacing w:val="9"/>
          <w:sz w:val="32"/>
          <w:szCs w:val="32"/>
          <w:highlight w:val="none"/>
        </w:rPr>
        <w:t>第七条</w:t>
      </w:r>
      <w:r>
        <w:rPr>
          <w:rFonts w:hint="default" w:ascii="Times New Roman" w:hAnsi="Times New Roman" w:eastAsia="仿宋_GB2312" w:cs="Times New Roman"/>
          <w:color w:val="auto"/>
          <w:spacing w:val="88"/>
          <w:sz w:val="32"/>
          <w:szCs w:val="32"/>
          <w:highlight w:val="none"/>
        </w:rPr>
        <w:t xml:space="preserve"> </w:t>
      </w:r>
      <w:r>
        <w:rPr>
          <w:rFonts w:hint="default" w:ascii="Times New Roman" w:hAnsi="Times New Roman" w:eastAsia="仿宋_GB2312" w:cs="Times New Roman"/>
          <w:color w:val="auto"/>
          <w:spacing w:val="0"/>
          <w:sz w:val="32"/>
          <w:szCs w:val="32"/>
          <w:highlight w:val="none"/>
          <w:lang w:eastAsia="zh-CN"/>
        </w:rPr>
        <w:t>固定资产投资项目节能审查</w:t>
      </w:r>
      <w:r>
        <w:rPr>
          <w:rFonts w:hint="eastAsia" w:ascii="Times New Roman" w:hAnsi="Times New Roman" w:eastAsia="仿宋_GB2312" w:cs="Times New Roman"/>
          <w:color w:val="auto"/>
          <w:spacing w:val="0"/>
          <w:sz w:val="32"/>
          <w:szCs w:val="32"/>
          <w:highlight w:val="none"/>
          <w:lang w:eastAsia="zh-CN"/>
        </w:rPr>
        <w:t>实行分级分类管理，由</w:t>
      </w:r>
      <w:r>
        <w:rPr>
          <w:rFonts w:hint="default" w:ascii="Times New Roman" w:hAnsi="Times New Roman" w:eastAsia="仿宋_GB2312" w:cs="Times New Roman"/>
          <w:color w:val="auto"/>
          <w:spacing w:val="0"/>
          <w:sz w:val="32"/>
          <w:szCs w:val="32"/>
          <w:highlight w:val="none"/>
          <w:lang w:eastAsia="zh-CN"/>
        </w:rPr>
        <w:t>县级以上发展改革、工业和信息化、能源部门</w:t>
      </w:r>
      <w:r>
        <w:rPr>
          <w:rFonts w:hint="eastAsia" w:ascii="Times New Roman" w:hAnsi="Times New Roman" w:eastAsia="仿宋_GB2312" w:cs="Times New Roman"/>
          <w:color w:val="auto"/>
          <w:spacing w:val="0"/>
          <w:sz w:val="32"/>
          <w:szCs w:val="32"/>
          <w:highlight w:val="none"/>
          <w:lang w:eastAsia="zh-CN"/>
        </w:rPr>
        <w:t>（以下简称“节能审查机关”）</w:t>
      </w:r>
      <w:r>
        <w:rPr>
          <w:rFonts w:hint="eastAsia" w:ascii="Times New Roman" w:hAnsi="Times New Roman" w:eastAsia="仿宋_GB2312" w:cs="Times New Roman"/>
          <w:color w:val="auto"/>
          <w:spacing w:val="0"/>
          <w:sz w:val="32"/>
          <w:szCs w:val="32"/>
          <w:highlight w:val="none"/>
          <w:lang w:val="en-US" w:eastAsia="zh-CN"/>
        </w:rPr>
        <w:t>根据项目审批、核准、备案权限和项目属性分别负责</w:t>
      </w:r>
      <w:r>
        <w:rPr>
          <w:rFonts w:hint="default" w:ascii="Times New Roman" w:hAnsi="Times New Roman" w:eastAsia="仿宋_GB2312" w:cs="Times New Roman"/>
          <w:color w:val="auto"/>
          <w:spacing w:val="0"/>
          <w:sz w:val="32"/>
          <w:szCs w:val="32"/>
          <w:highlight w:val="none"/>
          <w:lang w:eastAsia="zh-CN"/>
        </w:rPr>
        <w:t>。</w:t>
      </w:r>
    </w:p>
    <w:p w14:paraId="2CBBBCC3">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（一）能源领域项目由能源部门负责；</w:t>
      </w:r>
    </w:p>
    <w:p w14:paraId="72D3C5E0">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（二）工业领域改建和技术改造项目由工业和信息化部门负责；</w:t>
      </w:r>
    </w:p>
    <w:p w14:paraId="59E24A22">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eastAsia" w:ascii="Times New Roman" w:hAnsi="Times New Roman" w:eastAsia="仿宋_GB2312" w:cs="Times New Roman"/>
          <w:color w:val="auto"/>
          <w:spacing w:val="0"/>
          <w:sz w:val="32"/>
          <w:szCs w:val="32"/>
          <w:highlight w:val="none"/>
          <w:lang w:eastAsia="zh-CN"/>
        </w:rPr>
        <w:t>（三）能源领域外的新建、扩建项目由发展改革部门负责。</w:t>
      </w:r>
    </w:p>
    <w:p w14:paraId="12AAB93C">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节能审查机关与管理节能工作的部门为不同部门的，节能审查机关应与同级管理节能工作的部门加强工作衔接，项目节能审查应征求同级管理节能工作的部门意见，并及时将本部门节能审查实施情况抄送同级管理节能工作的部门。</w:t>
      </w:r>
    </w:p>
    <w:p w14:paraId="2DE447AA">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default" w:ascii="Times New Roman" w:hAnsi="Times New Roman" w:eastAsia="仿宋_GB2312" w:cs="Times New Roman"/>
          <w:color w:val="auto"/>
          <w:spacing w:val="0"/>
          <w:sz w:val="32"/>
          <w:szCs w:val="32"/>
          <w:highlight w:val="none"/>
          <w:lang w:eastAsia="zh-CN"/>
        </w:rPr>
      </w:pPr>
      <w:r>
        <w:rPr>
          <w:rFonts w:hint="default" w:ascii="Times New Roman" w:hAnsi="Times New Roman" w:eastAsia="仿宋_GB2312" w:cs="Times New Roman"/>
          <w:color w:val="auto"/>
          <w:spacing w:val="0"/>
          <w:sz w:val="32"/>
          <w:szCs w:val="32"/>
          <w:highlight w:val="none"/>
          <w:lang w:eastAsia="zh-CN"/>
        </w:rPr>
        <w:t>节能审查机关应当制定并公开服务指南，列明申报材料、受理方式、审查条件、办理流程</w:t>
      </w:r>
      <w:r>
        <w:rPr>
          <w:rFonts w:hint="eastAsia" w:ascii="Times New Roman" w:hAnsi="Times New Roman" w:eastAsia="仿宋_GB2312" w:cs="Times New Roman"/>
          <w:color w:val="auto"/>
          <w:spacing w:val="0"/>
          <w:sz w:val="32"/>
          <w:szCs w:val="32"/>
          <w:highlight w:val="none"/>
          <w:lang w:eastAsia="zh-CN"/>
        </w:rPr>
        <w:t>和</w:t>
      </w:r>
      <w:r>
        <w:rPr>
          <w:rFonts w:hint="default" w:ascii="Times New Roman" w:hAnsi="Times New Roman" w:eastAsia="仿宋_GB2312" w:cs="Times New Roman"/>
          <w:color w:val="auto"/>
          <w:spacing w:val="0"/>
          <w:sz w:val="32"/>
          <w:szCs w:val="32"/>
          <w:highlight w:val="none"/>
          <w:lang w:eastAsia="zh-CN"/>
        </w:rPr>
        <w:t>时限等，为建设单位提供指导和服务，提高工作效能和透明度。上级节能审查机关应加强对下级节能审查机关的</w:t>
      </w:r>
      <w:r>
        <w:rPr>
          <w:rFonts w:hint="eastAsia" w:ascii="Times New Roman" w:hAnsi="Times New Roman" w:eastAsia="仿宋_GB2312" w:cs="Times New Roman"/>
          <w:color w:val="auto"/>
          <w:spacing w:val="0"/>
          <w:sz w:val="32"/>
          <w:szCs w:val="32"/>
          <w:highlight w:val="none"/>
          <w:lang w:eastAsia="zh-CN"/>
        </w:rPr>
        <w:t>业务</w:t>
      </w:r>
      <w:r>
        <w:rPr>
          <w:rFonts w:hint="default" w:ascii="Times New Roman" w:hAnsi="Times New Roman" w:eastAsia="仿宋_GB2312" w:cs="Times New Roman"/>
          <w:color w:val="auto"/>
          <w:spacing w:val="0"/>
          <w:sz w:val="32"/>
          <w:szCs w:val="32"/>
          <w:highlight w:val="none"/>
          <w:lang w:eastAsia="zh-CN"/>
        </w:rPr>
        <w:t>指导。</w:t>
      </w:r>
    </w:p>
    <w:p w14:paraId="01E843BA">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黑体" w:cs="Times New Roman"/>
          <w:color w:val="auto"/>
          <w:spacing w:val="2"/>
          <w:sz w:val="32"/>
          <w:szCs w:val="32"/>
          <w:highlight w:val="none"/>
        </w:rPr>
        <w:t>第</w:t>
      </w:r>
      <w:r>
        <w:rPr>
          <w:rFonts w:hint="default" w:ascii="Times New Roman" w:hAnsi="Times New Roman" w:eastAsia="黑体" w:cs="Times New Roman"/>
          <w:color w:val="auto"/>
          <w:spacing w:val="2"/>
          <w:sz w:val="32"/>
          <w:szCs w:val="32"/>
          <w:highlight w:val="none"/>
          <w:lang w:eastAsia="zh-CN"/>
        </w:rPr>
        <w:t>八</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61"/>
          <w:sz w:val="32"/>
          <w:szCs w:val="32"/>
          <w:highlight w:val="none"/>
        </w:rPr>
        <w:t xml:space="preserve"> </w:t>
      </w:r>
      <w:r>
        <w:rPr>
          <w:rFonts w:hint="eastAsia" w:ascii="Times New Roman" w:hAnsi="Times New Roman" w:eastAsia="仿宋_GB2312" w:cs="Times New Roman"/>
          <w:snapToGrid w:val="0"/>
          <w:color w:val="auto"/>
          <w:spacing w:val="0"/>
          <w:kern w:val="0"/>
          <w:sz w:val="32"/>
          <w:szCs w:val="32"/>
          <w:highlight w:val="none"/>
          <w:lang w:val="en-US" w:eastAsia="zh-CN" w:bidi="ar"/>
        </w:rPr>
        <w:t>节能审查权限根据项目年综合能源消费量实行分级管理，</w:t>
      </w:r>
      <w:r>
        <w:rPr>
          <w:rFonts w:hint="default" w:ascii="Times New Roman" w:hAnsi="Times New Roman" w:eastAsia="仿宋_GB2312" w:cs="Times New Roman"/>
          <w:snapToGrid w:val="0"/>
          <w:color w:val="auto"/>
          <w:spacing w:val="0"/>
          <w:kern w:val="0"/>
          <w:sz w:val="32"/>
          <w:szCs w:val="32"/>
          <w:highlight w:val="none"/>
          <w:lang w:val="en-US" w:eastAsia="zh-CN" w:bidi="ar"/>
        </w:rPr>
        <w:t>项目审批、核准、备案文件明确分期建设的，应在节能报告中明确项目分期建设计划、建设内容及能源消费、碳排放等情况。</w:t>
      </w:r>
    </w:p>
    <w:p w14:paraId="38CA436B">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default" w:ascii="Times New Roman" w:hAnsi="Times New Roman" w:eastAsia="仿宋_GB2312" w:cs="Times New Roman"/>
          <w:color w:val="auto"/>
          <w:spacing w:val="0"/>
          <w:sz w:val="32"/>
          <w:szCs w:val="32"/>
          <w:highlight w:val="none"/>
          <w:lang w:val="en-US" w:eastAsia="zh-CN" w:bidi="ar"/>
        </w:rPr>
      </w:pPr>
      <w:r>
        <w:rPr>
          <w:rFonts w:hint="eastAsia" w:ascii="楷体_GB2312" w:hAnsi="楷体_GB2312" w:eastAsia="楷体_GB2312" w:cs="楷体_GB2312"/>
          <w:color w:val="auto"/>
          <w:spacing w:val="2"/>
          <w:sz w:val="32"/>
          <w:szCs w:val="32"/>
          <w:highlight w:val="none"/>
          <w:lang w:eastAsia="zh-CN"/>
        </w:rPr>
        <w:t>（一）</w:t>
      </w:r>
      <w:r>
        <w:rPr>
          <w:rFonts w:hint="default" w:ascii="Times New Roman" w:hAnsi="Times New Roman" w:eastAsia="仿宋_GB2312" w:cs="Times New Roman"/>
          <w:color w:val="auto"/>
          <w:spacing w:val="0"/>
          <w:sz w:val="32"/>
          <w:szCs w:val="32"/>
          <w:highlight w:val="none"/>
          <w:lang w:eastAsia="zh-CN" w:bidi="ar"/>
        </w:rPr>
        <w:t>国家发展改革委核报国务院审批、核准和国家发展改革委审批、核准的固定资产投资项目，以及年综合能源消费量（建设地点、主要生产工艺和设备未改变的改建和技术改造项目按照建成投产后年综合能源消费增量计算；其他项目按照建成投产后年综合能源消费量计算，电力折算系数按当量值，下同）10000吨标准煤及以上（或年煤炭消费量10000吨及以上）的固定资产投资项目，除应由国家发展改革委审查的，其节能审查由省级节能审查机关负责。</w:t>
      </w:r>
    </w:p>
    <w:p w14:paraId="207A8578">
      <w:pPr>
        <w:pStyle w:val="2"/>
        <w:keepNext w:val="0"/>
        <w:keepLines w:val="0"/>
        <w:pageBreakBefore w:val="0"/>
        <w:widowControl w:val="0"/>
        <w:kinsoku/>
        <w:wordWrap/>
        <w:overflowPunct/>
        <w:topLinePunct w:val="0"/>
        <w:autoSpaceDE/>
        <w:autoSpaceDN/>
        <w:bidi w:val="0"/>
        <w:adjustRightInd/>
        <w:snapToGrid/>
        <w:spacing w:line="600" w:lineRule="exact"/>
        <w:ind w:left="0" w:firstLine="648" w:firstLineChars="200"/>
        <w:jc w:val="both"/>
        <w:textAlignment w:val="auto"/>
        <w:rPr>
          <w:rFonts w:hint="default" w:ascii="Times New Roman" w:hAnsi="Times New Roman" w:eastAsia="仿宋_GB2312" w:cs="Times New Roman"/>
          <w:snapToGrid w:val="0"/>
          <w:color w:val="auto"/>
          <w:spacing w:val="4"/>
          <w:kern w:val="0"/>
          <w:sz w:val="32"/>
          <w:szCs w:val="32"/>
          <w:highlight w:val="none"/>
          <w:lang w:val="en-US" w:eastAsia="zh-CN" w:bidi="ar"/>
        </w:rPr>
      </w:pPr>
      <w:r>
        <w:rPr>
          <w:rFonts w:hint="eastAsia" w:ascii="楷体_GB2312" w:hAnsi="楷体_GB2312" w:eastAsia="楷体_GB2312" w:cs="楷体_GB2312"/>
          <w:color w:val="auto"/>
          <w:spacing w:val="2"/>
          <w:sz w:val="32"/>
          <w:szCs w:val="32"/>
          <w:highlight w:val="none"/>
          <w:lang w:eastAsia="zh-CN"/>
        </w:rPr>
        <w:t>（二）</w:t>
      </w:r>
      <w:r>
        <w:rPr>
          <w:rFonts w:hint="default" w:ascii="Times New Roman" w:hAnsi="Times New Roman" w:eastAsia="仿宋_GB2312" w:cs="Times New Roman"/>
          <w:snapToGrid w:val="0"/>
          <w:color w:val="auto"/>
          <w:spacing w:val="0"/>
          <w:kern w:val="0"/>
          <w:sz w:val="32"/>
          <w:szCs w:val="32"/>
          <w:highlight w:val="none"/>
          <w:lang w:val="en-US" w:eastAsia="zh-CN" w:bidi="ar"/>
        </w:rPr>
        <w:t>省投资主管部门审批、核准、备案，且年综合能源消费量1000（含）-</w:t>
      </w:r>
      <w:r>
        <w:rPr>
          <w:rFonts w:hint="default" w:ascii="Times New Roman" w:hAnsi="Times New Roman" w:eastAsia="仿宋_GB2312" w:cs="Times New Roman"/>
          <w:color w:val="auto"/>
          <w:sz w:val="32"/>
          <w:szCs w:val="32"/>
          <w:highlight w:val="none"/>
          <w:u w:val="none"/>
          <w:lang w:eastAsia="zh-CN" w:bidi="ar"/>
        </w:rPr>
        <w:t>10000吨标准煤〔</w:t>
      </w:r>
      <w:r>
        <w:rPr>
          <w:rFonts w:hint="default" w:ascii="Times New Roman" w:hAnsi="Times New Roman" w:eastAsia="仿宋_GB2312" w:cs="Times New Roman"/>
          <w:snapToGrid w:val="0"/>
          <w:color w:val="auto"/>
          <w:spacing w:val="0"/>
          <w:kern w:val="0"/>
          <w:sz w:val="32"/>
          <w:szCs w:val="32"/>
          <w:highlight w:val="none"/>
          <w:lang w:val="en-US" w:eastAsia="zh-CN" w:bidi="ar"/>
        </w:rPr>
        <w:t>或年煤炭消费量1000（含）-10000吨〕的固定资产投资项目，</w:t>
      </w:r>
      <w:r>
        <w:rPr>
          <w:rFonts w:hint="eastAsia" w:ascii="Times New Roman" w:hAnsi="Times New Roman" w:eastAsia="仿宋_GB2312" w:cs="Times New Roman"/>
          <w:snapToGrid w:val="0"/>
          <w:color w:val="auto"/>
          <w:spacing w:val="0"/>
          <w:kern w:val="0"/>
          <w:sz w:val="32"/>
          <w:szCs w:val="32"/>
          <w:highlight w:val="none"/>
          <w:lang w:val="en-US" w:eastAsia="zh-CN" w:bidi="ar"/>
        </w:rPr>
        <w:t>除能源领域</w:t>
      </w:r>
      <w:r>
        <w:rPr>
          <w:rFonts w:hint="default" w:ascii="Times New Roman" w:hAnsi="Times New Roman" w:eastAsia="仿宋_GB2312" w:cs="Times New Roman"/>
          <w:color w:val="auto"/>
          <w:spacing w:val="0"/>
          <w:sz w:val="32"/>
          <w:szCs w:val="32"/>
          <w:highlight w:val="none"/>
          <w:lang w:val="en-US" w:eastAsia="zh-CN"/>
        </w:rPr>
        <w:t>项目由</w:t>
      </w:r>
      <w:r>
        <w:rPr>
          <w:rFonts w:hint="default" w:ascii="Times New Roman" w:hAnsi="Times New Roman" w:eastAsia="仿宋_GB2312" w:cs="Times New Roman"/>
          <w:snapToGrid w:val="0"/>
          <w:color w:val="auto"/>
          <w:spacing w:val="0"/>
          <w:kern w:val="0"/>
          <w:sz w:val="32"/>
          <w:szCs w:val="32"/>
          <w:highlight w:val="none"/>
          <w:lang w:val="en-US" w:eastAsia="zh-CN" w:bidi="ar"/>
        </w:rPr>
        <w:t>市（州）节能审查机关负责</w:t>
      </w:r>
      <w:r>
        <w:rPr>
          <w:rFonts w:hint="eastAsia" w:ascii="Times New Roman" w:hAnsi="Times New Roman" w:eastAsia="仿宋_GB2312" w:cs="Times New Roman"/>
          <w:snapToGrid w:val="0"/>
          <w:color w:val="auto"/>
          <w:spacing w:val="0"/>
          <w:kern w:val="0"/>
          <w:sz w:val="32"/>
          <w:szCs w:val="32"/>
          <w:highlight w:val="none"/>
          <w:lang w:val="en-US" w:eastAsia="zh-CN" w:bidi="ar"/>
        </w:rPr>
        <w:t>外，</w:t>
      </w:r>
      <w:r>
        <w:rPr>
          <w:rFonts w:hint="default" w:ascii="Times New Roman" w:hAnsi="Times New Roman" w:eastAsia="仿宋_GB2312" w:cs="Times New Roman"/>
          <w:snapToGrid w:val="0"/>
          <w:color w:val="auto"/>
          <w:spacing w:val="0"/>
          <w:kern w:val="0"/>
          <w:sz w:val="32"/>
          <w:szCs w:val="32"/>
          <w:highlight w:val="none"/>
          <w:lang w:val="en-US" w:eastAsia="zh-CN" w:bidi="ar"/>
        </w:rPr>
        <w:t>其</w:t>
      </w:r>
      <w:r>
        <w:rPr>
          <w:rFonts w:hint="eastAsia" w:ascii="Times New Roman" w:hAnsi="Times New Roman" w:eastAsia="仿宋_GB2312" w:cs="Times New Roman"/>
          <w:snapToGrid w:val="0"/>
          <w:color w:val="auto"/>
          <w:spacing w:val="0"/>
          <w:kern w:val="0"/>
          <w:sz w:val="32"/>
          <w:szCs w:val="32"/>
          <w:highlight w:val="none"/>
          <w:lang w:val="en-US" w:eastAsia="zh-CN" w:bidi="ar"/>
        </w:rPr>
        <w:t>他项目</w:t>
      </w:r>
      <w:r>
        <w:rPr>
          <w:rFonts w:hint="default" w:ascii="Times New Roman" w:hAnsi="Times New Roman" w:eastAsia="仿宋_GB2312" w:cs="Times New Roman"/>
          <w:snapToGrid w:val="0"/>
          <w:color w:val="auto"/>
          <w:spacing w:val="0"/>
          <w:kern w:val="0"/>
          <w:sz w:val="32"/>
          <w:szCs w:val="32"/>
          <w:highlight w:val="none"/>
          <w:lang w:val="en-US" w:eastAsia="zh-CN" w:bidi="ar"/>
        </w:rPr>
        <w:t>节能审查由省级节能审查机关负责。</w:t>
      </w:r>
    </w:p>
    <w:p w14:paraId="57AC362E">
      <w:pPr>
        <w:pStyle w:val="2"/>
        <w:keepNext w:val="0"/>
        <w:keepLines w:val="0"/>
        <w:pageBreakBefore w:val="0"/>
        <w:widowControl w:val="0"/>
        <w:kinsoku/>
        <w:wordWrap/>
        <w:overflowPunct/>
        <w:topLinePunct w:val="0"/>
        <w:autoSpaceDE/>
        <w:autoSpaceDN/>
        <w:bidi w:val="0"/>
        <w:adjustRightInd/>
        <w:snapToGrid/>
        <w:spacing w:line="600" w:lineRule="exact"/>
        <w:ind w:left="0" w:firstLine="656" w:firstLineChars="200"/>
        <w:jc w:val="both"/>
        <w:textAlignment w:val="auto"/>
        <w:rPr>
          <w:rFonts w:hint="default" w:ascii="Times New Roman" w:hAnsi="Times New Roman" w:eastAsia="仿宋_GB2312" w:cs="Times New Roman"/>
          <w:snapToGrid w:val="0"/>
          <w:color w:val="auto"/>
          <w:spacing w:val="4"/>
          <w:kern w:val="0"/>
          <w:sz w:val="32"/>
          <w:szCs w:val="32"/>
          <w:highlight w:val="none"/>
          <w:lang w:val="en-US" w:eastAsia="zh-CN" w:bidi="ar"/>
        </w:rPr>
      </w:pPr>
      <w:r>
        <w:rPr>
          <w:rFonts w:hint="eastAsia" w:ascii="楷体_GB2312" w:hAnsi="楷体_GB2312" w:eastAsia="楷体_GB2312" w:cs="楷体_GB2312"/>
          <w:color w:val="auto"/>
          <w:spacing w:val="4"/>
          <w:sz w:val="32"/>
          <w:szCs w:val="32"/>
          <w:highlight w:val="none"/>
          <w:lang w:eastAsia="zh-CN"/>
        </w:rPr>
        <w:t>（三）</w:t>
      </w:r>
      <w:r>
        <w:rPr>
          <w:rFonts w:hint="default" w:ascii="Times New Roman" w:hAnsi="Times New Roman" w:eastAsia="仿宋_GB2312" w:cs="Times New Roman"/>
          <w:snapToGrid w:val="0"/>
          <w:color w:val="auto"/>
          <w:spacing w:val="0"/>
          <w:kern w:val="0"/>
          <w:sz w:val="32"/>
          <w:szCs w:val="32"/>
          <w:highlight w:val="none"/>
          <w:lang w:val="en-US" w:eastAsia="zh-CN" w:bidi="ar"/>
        </w:rPr>
        <w:t>市（州）、县（区）投资主管部门审批、核准、备案，且年综合能源消费量1000（含）-</w:t>
      </w:r>
      <w:r>
        <w:rPr>
          <w:rFonts w:hint="default" w:ascii="Times New Roman" w:hAnsi="Times New Roman" w:eastAsia="仿宋_GB2312" w:cs="Times New Roman"/>
          <w:color w:val="auto"/>
          <w:sz w:val="32"/>
          <w:szCs w:val="32"/>
          <w:highlight w:val="none"/>
          <w:u w:val="none"/>
          <w:lang w:eastAsia="zh-CN" w:bidi="ar"/>
        </w:rPr>
        <w:t>10000吨标准煤〔</w:t>
      </w:r>
      <w:r>
        <w:rPr>
          <w:rFonts w:hint="default" w:ascii="Times New Roman" w:hAnsi="Times New Roman" w:eastAsia="仿宋_GB2312" w:cs="Times New Roman"/>
          <w:snapToGrid w:val="0"/>
          <w:color w:val="auto"/>
          <w:spacing w:val="0"/>
          <w:kern w:val="0"/>
          <w:sz w:val="32"/>
          <w:szCs w:val="32"/>
          <w:highlight w:val="none"/>
          <w:lang w:val="en-US" w:eastAsia="zh-CN" w:bidi="ar"/>
        </w:rPr>
        <w:t>或年煤炭消费量1000（含）-10000吨〕的固定资产投资项目，其节能审查由市（州）节能审查机关负责。</w:t>
      </w:r>
    </w:p>
    <w:p w14:paraId="41720981">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56" w:firstLineChars="200"/>
        <w:jc w:val="both"/>
        <w:textAlignment w:val="baseline"/>
        <w:rPr>
          <w:rFonts w:hint="default"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4"/>
          <w:sz w:val="32"/>
          <w:szCs w:val="32"/>
          <w:highlight w:val="none"/>
          <w:lang w:eastAsia="zh-CN"/>
        </w:rPr>
        <w:t>（四）</w:t>
      </w:r>
      <w:r>
        <w:rPr>
          <w:rFonts w:hint="default" w:ascii="Times New Roman" w:hAnsi="Times New Roman" w:eastAsia="仿宋_GB2312" w:cs="Times New Roman"/>
          <w:color w:val="auto"/>
          <w:spacing w:val="0"/>
          <w:sz w:val="32"/>
          <w:szCs w:val="32"/>
          <w:highlight w:val="none"/>
          <w:lang w:eastAsia="zh-CN" w:bidi="ar"/>
        </w:rPr>
        <w:t>年综合能源消费量不满1000吨标准煤且年煤炭消费量不满1000吨的固定资产投资项目，涉及国家秘密（保密事项范围及密级应由具备定密权限的机关、单位确定）的固定资产投资项目以及用能工艺简单、节能潜力小的行业（具体行业目录由国家发展改革委制定公布并适时更新）的固定资产投资项目，可不单独编制节能报告。项目建设单位</w:t>
      </w:r>
      <w:r>
        <w:rPr>
          <w:rFonts w:hint="eastAsia" w:ascii="Times New Roman" w:hAnsi="Times New Roman" w:eastAsia="仿宋_GB2312" w:cs="Times New Roman"/>
          <w:color w:val="auto"/>
          <w:spacing w:val="0"/>
          <w:sz w:val="32"/>
          <w:szCs w:val="32"/>
          <w:highlight w:val="none"/>
          <w:lang w:eastAsia="zh-CN" w:bidi="ar"/>
        </w:rPr>
        <w:t>可</w:t>
      </w:r>
      <w:r>
        <w:rPr>
          <w:rFonts w:hint="default" w:ascii="Times New Roman" w:hAnsi="Times New Roman" w:eastAsia="仿宋_GB2312" w:cs="Times New Roman"/>
          <w:color w:val="auto"/>
          <w:spacing w:val="0"/>
          <w:sz w:val="32"/>
          <w:szCs w:val="32"/>
          <w:highlight w:val="none"/>
          <w:lang w:eastAsia="zh-CN" w:bidi="ar"/>
        </w:rPr>
        <w:t>在可行性研究报告或项目申请报告中对项目能源利用、能效</w:t>
      </w:r>
      <w:r>
        <w:rPr>
          <w:rFonts w:hint="eastAsia" w:ascii="Times New Roman" w:hAnsi="Times New Roman" w:eastAsia="仿宋_GB2312" w:cs="Times New Roman"/>
          <w:color w:val="auto"/>
          <w:spacing w:val="0"/>
          <w:sz w:val="32"/>
          <w:szCs w:val="32"/>
          <w:highlight w:val="none"/>
          <w:lang w:eastAsia="zh-CN" w:bidi="ar"/>
        </w:rPr>
        <w:t>和</w:t>
      </w:r>
      <w:r>
        <w:rPr>
          <w:rFonts w:hint="default" w:ascii="Times New Roman" w:hAnsi="Times New Roman" w:eastAsia="仿宋_GB2312" w:cs="Times New Roman"/>
          <w:color w:val="auto"/>
          <w:spacing w:val="0"/>
          <w:sz w:val="32"/>
          <w:szCs w:val="32"/>
          <w:highlight w:val="none"/>
          <w:lang w:eastAsia="zh-CN" w:bidi="ar"/>
        </w:rPr>
        <w:t>碳排放水平</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节能</w:t>
      </w:r>
      <w:r>
        <w:rPr>
          <w:rFonts w:hint="eastAsia" w:ascii="Times New Roman" w:hAnsi="Times New Roman" w:eastAsia="仿宋_GB2312" w:cs="Times New Roman"/>
          <w:color w:val="auto"/>
          <w:spacing w:val="0"/>
          <w:sz w:val="32"/>
          <w:szCs w:val="32"/>
          <w:highlight w:val="none"/>
          <w:lang w:eastAsia="zh-CN" w:bidi="ar"/>
        </w:rPr>
        <w:t>降</w:t>
      </w:r>
      <w:r>
        <w:rPr>
          <w:rFonts w:hint="default" w:ascii="Times New Roman" w:hAnsi="Times New Roman" w:eastAsia="仿宋_GB2312" w:cs="Times New Roman"/>
          <w:color w:val="auto"/>
          <w:spacing w:val="0"/>
          <w:sz w:val="32"/>
          <w:szCs w:val="32"/>
          <w:highlight w:val="none"/>
          <w:lang w:eastAsia="zh-CN" w:bidi="ar"/>
        </w:rPr>
        <w:t>碳措施等进行分析，</w:t>
      </w:r>
      <w:r>
        <w:rPr>
          <w:rFonts w:hint="eastAsia" w:ascii="Times New Roman" w:hAnsi="Times New Roman" w:eastAsia="仿宋_GB2312" w:cs="Times New Roman"/>
          <w:color w:val="auto"/>
          <w:spacing w:val="0"/>
          <w:sz w:val="32"/>
          <w:szCs w:val="32"/>
          <w:highlight w:val="none"/>
          <w:lang w:eastAsia="zh-CN" w:bidi="ar"/>
        </w:rPr>
        <w:t>同时可</w:t>
      </w:r>
      <w:r>
        <w:rPr>
          <w:rFonts w:hint="default" w:ascii="Times New Roman" w:hAnsi="Times New Roman" w:eastAsia="仿宋_GB2312" w:cs="Times New Roman"/>
          <w:color w:val="auto"/>
          <w:spacing w:val="0"/>
          <w:sz w:val="32"/>
          <w:szCs w:val="32"/>
          <w:highlight w:val="none"/>
          <w:lang w:eastAsia="zh-CN" w:bidi="ar"/>
        </w:rPr>
        <w:t>结合能源消费情况出具《不单独进行节能审查的固定资产投资项目能耗说明和节能承诺》（见附件）</w:t>
      </w:r>
      <w:r>
        <w:rPr>
          <w:rFonts w:hint="eastAsia" w:ascii="Times New Roman" w:hAnsi="Times New Roman" w:eastAsia="仿宋_GB2312" w:cs="Times New Roman"/>
          <w:color w:val="auto"/>
          <w:spacing w:val="0"/>
          <w:sz w:val="32"/>
          <w:szCs w:val="32"/>
          <w:highlight w:val="none"/>
          <w:lang w:eastAsia="zh-CN" w:bidi="ar"/>
        </w:rPr>
        <w:t>，</w:t>
      </w:r>
      <w:r>
        <w:rPr>
          <w:rFonts w:hint="default" w:ascii="Times New Roman" w:hAnsi="Times New Roman" w:eastAsia="仿宋_GB2312" w:cs="Times New Roman"/>
          <w:color w:val="auto"/>
          <w:spacing w:val="0"/>
          <w:sz w:val="32"/>
          <w:szCs w:val="32"/>
          <w:highlight w:val="none"/>
          <w:lang w:eastAsia="zh-CN" w:bidi="ar"/>
        </w:rPr>
        <w:t>列明项目年综合能源消费量、年煤炭消费量</w:t>
      </w:r>
      <w:r>
        <w:rPr>
          <w:rFonts w:hint="eastAsia" w:ascii="Times New Roman" w:hAnsi="Times New Roman" w:eastAsia="仿宋_GB2312" w:cs="Times New Roman"/>
          <w:color w:val="auto"/>
          <w:spacing w:val="0"/>
          <w:sz w:val="32"/>
          <w:szCs w:val="32"/>
          <w:highlight w:val="none"/>
          <w:lang w:eastAsia="zh-CN" w:bidi="ar"/>
        </w:rPr>
        <w:t>、年碳排放量</w:t>
      </w:r>
      <w:r>
        <w:rPr>
          <w:rFonts w:hint="default" w:ascii="Times New Roman" w:hAnsi="Times New Roman" w:eastAsia="仿宋_GB2312" w:cs="Times New Roman"/>
          <w:color w:val="auto"/>
          <w:spacing w:val="0"/>
          <w:sz w:val="32"/>
          <w:szCs w:val="32"/>
          <w:highlight w:val="none"/>
          <w:lang w:eastAsia="zh-CN" w:bidi="ar"/>
        </w:rPr>
        <w:t>等内容，</w:t>
      </w:r>
      <w:r>
        <w:rPr>
          <w:rFonts w:hint="eastAsia" w:ascii="Times New Roman" w:hAnsi="Times New Roman" w:eastAsia="仿宋_GB2312" w:cs="Times New Roman"/>
          <w:color w:val="auto"/>
          <w:spacing w:val="0"/>
          <w:sz w:val="32"/>
          <w:szCs w:val="32"/>
          <w:highlight w:val="none"/>
          <w:lang w:eastAsia="zh-CN" w:bidi="ar"/>
        </w:rPr>
        <w:t>报送</w:t>
      </w:r>
      <w:r>
        <w:rPr>
          <w:rFonts w:hint="default" w:ascii="Times New Roman" w:hAnsi="Times New Roman" w:eastAsia="仿宋_GB2312" w:cs="Times New Roman"/>
          <w:color w:val="auto"/>
          <w:spacing w:val="0"/>
          <w:sz w:val="32"/>
          <w:szCs w:val="32"/>
          <w:highlight w:val="none"/>
          <w:lang w:val="en-US" w:eastAsia="zh-CN" w:bidi="ar"/>
        </w:rPr>
        <w:t>相应的投资主管部门，</w:t>
      </w:r>
      <w:r>
        <w:rPr>
          <w:rFonts w:hint="default" w:ascii="Times New Roman" w:hAnsi="Times New Roman" w:eastAsia="仿宋_GB2312" w:cs="Times New Roman"/>
          <w:color w:val="auto"/>
          <w:spacing w:val="0"/>
          <w:sz w:val="32"/>
          <w:szCs w:val="32"/>
          <w:highlight w:val="none"/>
          <w:lang w:eastAsia="zh-CN" w:bidi="ar"/>
        </w:rPr>
        <w:t>并按照相关节能标准、规范建设。节能审查机关对项目不再单独进行节能审查，不再出具节能审查意见。</w:t>
      </w:r>
    </w:p>
    <w:p w14:paraId="5661FBF6">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w:t>
      </w:r>
      <w:r>
        <w:rPr>
          <w:rFonts w:hint="default" w:ascii="Times New Roman" w:hAnsi="Times New Roman" w:eastAsia="黑体" w:cs="Times New Roman"/>
          <w:color w:val="auto"/>
          <w:spacing w:val="2"/>
          <w:sz w:val="32"/>
          <w:szCs w:val="32"/>
          <w:highlight w:val="none"/>
          <w:lang w:eastAsia="zh-CN"/>
        </w:rPr>
        <w:t>九</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6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根据国家发展改革委固定资产投资项目节能审查权限动态调整机制，对重点领域年综合能源消费量（电力折算系数按等价值或当量值，年综合能源消费量取高值）</w:t>
      </w:r>
      <w:r>
        <w:rPr>
          <w:rFonts w:hint="eastAsia" w:ascii="Times New Roman" w:hAnsi="Times New Roman" w:eastAsia="仿宋_GB2312" w:cs="Times New Roman"/>
          <w:color w:val="auto"/>
          <w:spacing w:val="0"/>
          <w:position w:val="0"/>
          <w:sz w:val="32"/>
          <w:szCs w:val="32"/>
          <w:highlight w:val="none"/>
          <w:lang w:eastAsia="zh-CN" w:bidi="ar"/>
        </w:rPr>
        <w:t>50</w:t>
      </w:r>
      <w:r>
        <w:rPr>
          <w:rFonts w:hint="eastAsia" w:ascii="Times New Roman" w:hAnsi="Times New Roman" w:eastAsia="仿宋_GB2312" w:cs="Times New Roman"/>
          <w:color w:val="auto"/>
          <w:spacing w:val="0"/>
          <w:sz w:val="32"/>
          <w:szCs w:val="32"/>
          <w:highlight w:val="none"/>
          <w:lang w:eastAsia="zh-CN" w:bidi="ar"/>
        </w:rPr>
        <w:t>万吨标准煤及以上（或年煤炭消费量</w:t>
      </w:r>
      <w:r>
        <w:rPr>
          <w:rFonts w:hint="eastAsia" w:ascii="Times New Roman" w:hAnsi="Times New Roman" w:eastAsia="仿宋_GB2312" w:cs="Times New Roman"/>
          <w:color w:val="auto"/>
          <w:spacing w:val="0"/>
          <w:position w:val="0"/>
          <w:sz w:val="32"/>
          <w:szCs w:val="32"/>
          <w:highlight w:val="none"/>
          <w:lang w:eastAsia="zh-CN" w:bidi="ar"/>
        </w:rPr>
        <w:t>50</w:t>
      </w:r>
      <w:r>
        <w:rPr>
          <w:rFonts w:hint="eastAsia" w:ascii="Times New Roman" w:hAnsi="Times New Roman" w:eastAsia="仿宋_GB2312" w:cs="Times New Roman"/>
          <w:color w:val="auto"/>
          <w:spacing w:val="0"/>
          <w:sz w:val="32"/>
          <w:szCs w:val="32"/>
          <w:highlight w:val="none"/>
          <w:lang w:eastAsia="zh-CN" w:bidi="ar"/>
        </w:rPr>
        <w:t>万吨及以上）项目节能审查，由</w:t>
      </w:r>
      <w:r>
        <w:rPr>
          <w:rFonts w:hint="eastAsia" w:ascii="Times New Roman" w:hAnsi="Times New Roman" w:eastAsia="仿宋_GB2312" w:cs="Times New Roman"/>
          <w:color w:val="auto"/>
          <w:sz w:val="32"/>
          <w:szCs w:val="32"/>
          <w:highlight w:val="none"/>
          <w:lang w:eastAsia="zh-CN" w:bidi="ar"/>
        </w:rPr>
        <w:t>省发展改革委会同相关节能审查机关</w:t>
      </w:r>
      <w:r>
        <w:rPr>
          <w:rFonts w:hint="eastAsia" w:ascii="Times New Roman" w:hAnsi="Times New Roman" w:eastAsia="仿宋_GB2312" w:cs="Times New Roman"/>
          <w:color w:val="auto"/>
          <w:spacing w:val="0"/>
          <w:sz w:val="32"/>
          <w:szCs w:val="32"/>
          <w:highlight w:val="none"/>
          <w:lang w:eastAsia="zh-CN" w:bidi="ar"/>
        </w:rPr>
        <w:t>按要求报送国家发展改革委实施。有关审查的行业范围、审查条件、工作程序等，依据国家发展改革委政策执行。</w:t>
      </w:r>
    </w:p>
    <w:p w14:paraId="38D3DD1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8"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2"/>
          <w:sz w:val="32"/>
          <w:szCs w:val="32"/>
          <w:highlight w:val="none"/>
        </w:rPr>
        <w:t>第十条</w:t>
      </w:r>
      <w:r>
        <w:rPr>
          <w:rFonts w:hint="default" w:ascii="Times New Roman" w:hAnsi="Times New Roman" w:eastAsia="仿宋_GB2312" w:cs="Times New Roman"/>
          <w:color w:val="auto"/>
          <w:spacing w:val="6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实施节能审查的固定资产投资项目，应同步开展碳排放评价。</w:t>
      </w:r>
    </w:p>
    <w:p w14:paraId="7E8B1A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对节能降碳指标严重滞后的市（州），省发展改革委商其他省级节能审查机关视情暂停受理其节能审查和碳排放评价申请，暂停时段结合实际确定。</w:t>
      </w:r>
    </w:p>
    <w:p w14:paraId="1374948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snapToGrid w:val="0"/>
          <w:color w:val="auto"/>
          <w:spacing w:val="-1"/>
          <w:kern w:val="0"/>
          <w:sz w:val="32"/>
          <w:szCs w:val="32"/>
          <w:highlight w:val="none"/>
          <w:lang w:val="en-US" w:eastAsia="zh-CN" w:bidi="ar"/>
        </w:rPr>
        <w:t>第十一条</w:t>
      </w:r>
      <w:r>
        <w:rPr>
          <w:rFonts w:hint="default" w:ascii="Times New Roman" w:hAnsi="Times New Roman" w:eastAsia="仿宋_GB2312" w:cs="Times New Roman"/>
          <w:snapToGrid w:val="0"/>
          <w:color w:val="auto"/>
          <w:spacing w:val="17"/>
          <w:kern w:val="0"/>
          <w:sz w:val="32"/>
          <w:szCs w:val="32"/>
          <w:highlight w:val="none"/>
          <w:lang w:val="en-US" w:eastAsia="zh-CN" w:bidi="ar"/>
        </w:rPr>
        <w:t xml:space="preserve"> </w:t>
      </w:r>
      <w:r>
        <w:rPr>
          <w:rFonts w:hint="eastAsia" w:ascii="Times New Roman" w:hAnsi="Times New Roman" w:eastAsia="仿宋_GB2312" w:cs="Times New Roman"/>
          <w:snapToGrid w:val="0"/>
          <w:color w:val="auto"/>
          <w:spacing w:val="0"/>
          <w:kern w:val="0"/>
          <w:sz w:val="32"/>
          <w:szCs w:val="32"/>
          <w:highlight w:val="none"/>
          <w:lang w:val="en-US" w:eastAsia="zh-CN" w:bidi="ar"/>
        </w:rPr>
        <w:t>各市（州）可结合本地实际，在各类开发区、新区和其他有条件的区域实施区域节能审查，明确区域节能降碳目标、节能降碳措施、能效和碳排放准入、化石能源消费控制等要求。对已经实施区域节能审查范围内的项目，除应由国家发展改革委和省级节能审查机关审查的，节能审查实行告知承诺制。区域节能审查具体实施办法由各市（州）发展改革部门依据实际情况制定，并报省发展改革委审定。</w:t>
      </w:r>
    </w:p>
    <w:p w14:paraId="4DC110FF">
      <w:pPr>
        <w:keepNext w:val="0"/>
        <w:keepLines w:val="0"/>
        <w:pageBreakBefore w:val="0"/>
        <w:widowControl w:val="0"/>
        <w:kinsoku/>
        <w:wordWrap/>
        <w:overflowPunct/>
        <w:topLinePunct w:val="0"/>
        <w:autoSpaceDE/>
        <w:autoSpaceDN/>
        <w:bidi w:val="0"/>
        <w:adjustRightInd w:val="0"/>
        <w:snapToGrid w:val="0"/>
        <w:spacing w:line="600" w:lineRule="exact"/>
        <w:ind w:left="0" w:firstLine="612" w:firstLineChars="200"/>
        <w:jc w:val="center"/>
        <w:textAlignment w:val="baseline"/>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第三章</w:t>
      </w:r>
      <w:r>
        <w:rPr>
          <w:rFonts w:hint="default" w:ascii="Times New Roman" w:hAnsi="Times New Roman" w:eastAsia="黑体" w:cs="Times New Roman"/>
          <w:color w:val="auto"/>
          <w:spacing w:val="16"/>
          <w:sz w:val="32"/>
          <w:szCs w:val="32"/>
          <w:highlight w:val="none"/>
        </w:rPr>
        <w:t xml:space="preserve">  </w:t>
      </w:r>
      <w:r>
        <w:rPr>
          <w:rFonts w:hint="default" w:ascii="Times New Roman" w:hAnsi="Times New Roman" w:eastAsia="黑体" w:cs="Times New Roman"/>
          <w:color w:val="auto"/>
          <w:spacing w:val="-7"/>
          <w:sz w:val="32"/>
          <w:szCs w:val="32"/>
          <w:highlight w:val="none"/>
        </w:rPr>
        <w:t>审查程序</w:t>
      </w:r>
    </w:p>
    <w:p w14:paraId="1B9662A0">
      <w:pPr>
        <w:pStyle w:val="2"/>
        <w:keepNext w:val="0"/>
        <w:keepLines w:val="0"/>
        <w:pageBreakBefore w:val="0"/>
        <w:widowControl w:val="0"/>
        <w:kinsoku/>
        <w:wordWrap/>
        <w:overflowPunct/>
        <w:topLinePunct w:val="0"/>
        <w:autoSpaceDE/>
        <w:autoSpaceDN/>
        <w:bidi w:val="0"/>
        <w:adjustRightInd/>
        <w:snapToGrid/>
        <w:spacing w:line="600" w:lineRule="exact"/>
        <w:ind w:left="0" w:firstLine="636"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第十</w:t>
      </w:r>
      <w:r>
        <w:rPr>
          <w:rFonts w:hint="default" w:ascii="Times New Roman" w:hAnsi="Times New Roman" w:eastAsia="黑体" w:cs="Times New Roman"/>
          <w:color w:val="auto"/>
          <w:spacing w:val="-1"/>
          <w:sz w:val="32"/>
          <w:szCs w:val="32"/>
          <w:highlight w:val="none"/>
          <w:lang w:eastAsia="zh-CN"/>
        </w:rPr>
        <w:t>二</w:t>
      </w:r>
      <w:r>
        <w:rPr>
          <w:rFonts w:hint="default" w:ascii="Times New Roman" w:hAnsi="Times New Roman" w:eastAsia="黑体" w:cs="Times New Roman"/>
          <w:color w:val="auto"/>
          <w:spacing w:val="-1"/>
          <w:sz w:val="32"/>
          <w:szCs w:val="32"/>
          <w:highlight w:val="none"/>
        </w:rPr>
        <w:t>条</w:t>
      </w:r>
      <w:r>
        <w:rPr>
          <w:rFonts w:hint="eastAsia" w:ascii="Times New Roman" w:hAnsi="Times New Roman" w:eastAsia="仿宋_GB2312" w:cs="Times New Roman"/>
          <w:color w:val="auto"/>
          <w:spacing w:val="0"/>
          <w:sz w:val="32"/>
          <w:szCs w:val="32"/>
          <w:highlight w:val="none"/>
          <w:lang w:eastAsia="zh-CN" w:bidi="ar"/>
        </w:rPr>
        <w:t xml:space="preserve"> 需进行节能审查的固定资产投资项目，建设单位应编制节能报告，不具备报告编制能力的建设单位应委托具备相应技术能力的机构编制节能报告。项目节能报告应包括下列内容：</w:t>
      </w:r>
    </w:p>
    <w:p w14:paraId="37592D19">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项目概况；</w:t>
      </w:r>
    </w:p>
    <w:p w14:paraId="5B6D3453">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分析评价依据；</w:t>
      </w:r>
    </w:p>
    <w:p w14:paraId="7596D1FF">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（三）</w:t>
      </w:r>
      <w:r>
        <w:rPr>
          <w:rFonts w:hint="eastAsia" w:ascii="Times New Roman" w:hAnsi="Times New Roman" w:eastAsia="仿宋_GB2312" w:cs="Times New Roman"/>
          <w:color w:val="auto"/>
          <w:spacing w:val="0"/>
          <w:sz w:val="32"/>
          <w:szCs w:val="32"/>
          <w:highlight w:val="none"/>
          <w:lang w:eastAsia="zh-CN" w:bidi="ar"/>
        </w:rPr>
        <w:t>项目建设及运营方案节能降碳分析和比选，包括总平面布置、生产工艺、用能工艺、用能设备和能源计量器具等方面；</w:t>
      </w:r>
    </w:p>
    <w:p w14:paraId="1AB14646">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能源消费情况，包括年综合能源消费量、化石能源消费量、煤炭消费量、可再生能源消费量和供给保障情况、原料用能消费量、能源消费结构；单位产品综合能耗、单位产品化石能源消耗、单位增加值（产值）能耗、单位增加值（产值）化石能源消耗，以及有关数据与国家、行业、地方标准及国际、国内行业先进水平的全面比较；</w:t>
      </w:r>
    </w:p>
    <w:p w14:paraId="5B2079E2">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（五）</w:t>
      </w:r>
      <w:r>
        <w:rPr>
          <w:rFonts w:hint="eastAsia" w:ascii="Times New Roman" w:hAnsi="Times New Roman" w:eastAsia="仿宋_GB2312" w:cs="Times New Roman"/>
          <w:color w:val="auto"/>
          <w:spacing w:val="0"/>
          <w:sz w:val="32"/>
          <w:szCs w:val="32"/>
          <w:highlight w:val="none"/>
          <w:lang w:eastAsia="zh-CN" w:bidi="ar"/>
        </w:rPr>
        <w:t>项目碳排放情况，包括单位产品碳排放、单位增加值（产值）碳排放、碳排放总量、碳排放结构（能源活动、工业生产过程排放等）；单位产品碳排放、单位增加值（产值）碳排放等数据与国家、行业和地方标准及国际、国内行业先进水平的全面比较；</w:t>
      </w:r>
    </w:p>
    <w:p w14:paraId="1BDF9690">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z w:val="32"/>
          <w:szCs w:val="32"/>
          <w:highlight w:val="none"/>
          <w:lang w:eastAsia="zh-CN" w:bidi="ar"/>
        </w:rPr>
        <w:t>（六）</w:t>
      </w:r>
      <w:r>
        <w:rPr>
          <w:rFonts w:hint="eastAsia" w:ascii="Times New Roman" w:hAnsi="Times New Roman" w:eastAsia="仿宋_GB2312" w:cs="Times New Roman"/>
          <w:color w:val="auto"/>
          <w:sz w:val="32"/>
          <w:szCs w:val="32"/>
          <w:highlight w:val="none"/>
          <w:lang w:eastAsia="zh-CN" w:bidi="ar"/>
        </w:rPr>
        <w:t>项目拟采取的节能降碳措施，包括可再生能源替代、</w:t>
      </w:r>
      <w:r>
        <w:rPr>
          <w:rFonts w:hint="eastAsia" w:ascii="Times New Roman" w:hAnsi="Times New Roman" w:eastAsia="仿宋_GB2312" w:cs="Times New Roman"/>
          <w:color w:val="auto"/>
          <w:spacing w:val="0"/>
          <w:sz w:val="32"/>
          <w:szCs w:val="32"/>
          <w:highlight w:val="none"/>
          <w:lang w:eastAsia="zh-CN" w:bidi="ar"/>
        </w:rPr>
        <w:t>煤炭消费控制和压减、节能低碳技术装备应用等措施及其技术、经济论证；</w:t>
      </w:r>
    </w:p>
    <w:p w14:paraId="43986DD8">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（七）</w:t>
      </w:r>
      <w:r>
        <w:rPr>
          <w:rFonts w:hint="eastAsia" w:ascii="Times New Roman" w:hAnsi="Times New Roman" w:eastAsia="仿宋_GB2312" w:cs="Times New Roman"/>
          <w:color w:val="auto"/>
          <w:spacing w:val="0"/>
          <w:sz w:val="32"/>
          <w:szCs w:val="32"/>
          <w:highlight w:val="none"/>
          <w:lang w:eastAsia="zh-CN" w:bidi="ar"/>
        </w:rPr>
        <w:t>项目实施对所在地完成节能降碳目标任务的影响分析。</w:t>
      </w:r>
    </w:p>
    <w:p w14:paraId="0DCD1667">
      <w:pPr>
        <w:pStyle w:val="2"/>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负责节能报告编制的单位应严格按照节能降碳有关法律法规、政策文件和标准规范等要求据实编制节能报告，确保节能报告的专业性、真实性和操作性。项目建设单位应出具书面承诺，对节能报告的真实性、合法性和完整性负责，不得以拆分或合并项目等不正当手段逃避节能审查。省发展改革委可结合实际采取节能报告质量审查等措施，加强对全省节能报告编制单位的管理。</w:t>
      </w:r>
    </w:p>
    <w:p w14:paraId="4F495E8B">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8"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第十</w:t>
      </w:r>
      <w:r>
        <w:rPr>
          <w:rFonts w:hint="default" w:ascii="Times New Roman" w:hAnsi="Times New Roman" w:eastAsia="黑体" w:cs="Times New Roman"/>
          <w:color w:val="auto"/>
          <w:spacing w:val="2"/>
          <w:sz w:val="32"/>
          <w:szCs w:val="32"/>
          <w:highlight w:val="none"/>
          <w:lang w:eastAsia="zh-CN"/>
        </w:rPr>
        <w:t>三</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59"/>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国家发展改革委负责实施节能审查的固定资产投资项目，</w:t>
      </w:r>
      <w:r>
        <w:rPr>
          <w:rFonts w:hint="eastAsia" w:ascii="Times New Roman" w:hAnsi="Times New Roman" w:eastAsia="仿宋_GB2312" w:cs="Times New Roman"/>
          <w:color w:val="auto"/>
          <w:spacing w:val="0"/>
          <w:sz w:val="32"/>
          <w:szCs w:val="32"/>
          <w:highlight w:val="none"/>
          <w:lang w:val="en-US" w:eastAsia="zh-CN" w:bidi="ar"/>
        </w:rPr>
        <w:t>由省发展改革委报送。</w:t>
      </w:r>
      <w:r>
        <w:rPr>
          <w:rFonts w:hint="eastAsia" w:ascii="Times New Roman" w:hAnsi="Times New Roman" w:eastAsia="仿宋_GB2312" w:cs="Times New Roman"/>
          <w:color w:val="auto"/>
          <w:spacing w:val="0"/>
          <w:sz w:val="32"/>
          <w:szCs w:val="32"/>
          <w:highlight w:val="none"/>
          <w:lang w:eastAsia="zh-CN" w:bidi="ar"/>
        </w:rPr>
        <w:t>省级节能审查机关应靠前服务，加强对建设单位节能报告编制的指导，并开展项目实施影响分析，各市（州）在报送节能审查申报材料时一并提交项目情况说明。项目情况说明应包括下列内容：</w:t>
      </w:r>
    </w:p>
    <w:p w14:paraId="20EA780E">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市（州）有关部门对项目的联合评估论证情况，包括产业管理、节能降碳、生态环保、资源利用等政策符合性，能效、碳排放、污染物排放、工艺设备等技术水平先进性，以及评估论证结果等；</w:t>
      </w:r>
    </w:p>
    <w:p w14:paraId="6B71DDD7">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项目实施能源消费替代、煤炭消费控制和压减等情况及产能置换情况（如需），以及有权限的部门出具的核实意见；</w:t>
      </w:r>
    </w:p>
    <w:p w14:paraId="11EE951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z w:val="32"/>
          <w:szCs w:val="32"/>
          <w:highlight w:val="none"/>
          <w:lang w:eastAsia="zh-CN" w:bidi="ar"/>
        </w:rPr>
        <w:t>（三）</w:t>
      </w:r>
      <w:r>
        <w:rPr>
          <w:rFonts w:hint="eastAsia" w:ascii="Times New Roman" w:hAnsi="Times New Roman" w:eastAsia="仿宋_GB2312" w:cs="Times New Roman"/>
          <w:color w:val="auto"/>
          <w:sz w:val="32"/>
          <w:szCs w:val="32"/>
          <w:highlight w:val="none"/>
          <w:lang w:eastAsia="zh-CN" w:bidi="ar"/>
        </w:rPr>
        <w:t>项目所属细分产业发展总体情况、既</w:t>
      </w:r>
      <w:r>
        <w:rPr>
          <w:rFonts w:hint="eastAsia" w:ascii="Times New Roman" w:hAnsi="Times New Roman" w:eastAsia="仿宋_GB2312" w:cs="Times New Roman"/>
          <w:color w:val="auto"/>
          <w:spacing w:val="0"/>
          <w:sz w:val="32"/>
          <w:szCs w:val="32"/>
          <w:highlight w:val="none"/>
          <w:lang w:eastAsia="zh-CN" w:bidi="ar"/>
        </w:rPr>
        <w:t>有产能规模和市场需求情况、同类存量企业生产经营情况；</w:t>
      </w:r>
    </w:p>
    <w:p w14:paraId="2F750EA1">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项目建成后对省、市（州）节能降碳工作特别是相关指标的影响分析；如有不利影响，应提出拟采取的有效措施；</w:t>
      </w:r>
    </w:p>
    <w:p w14:paraId="59D74862">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（五）</w:t>
      </w:r>
      <w:r>
        <w:rPr>
          <w:rFonts w:hint="eastAsia" w:ascii="Times New Roman" w:hAnsi="Times New Roman" w:eastAsia="仿宋_GB2312" w:cs="Times New Roman"/>
          <w:color w:val="auto"/>
          <w:spacing w:val="0"/>
          <w:sz w:val="32"/>
          <w:szCs w:val="32"/>
          <w:highlight w:val="none"/>
          <w:lang w:eastAsia="zh-CN" w:bidi="ar"/>
        </w:rPr>
        <w:t>是否支持项目建设的明确意见；</w:t>
      </w:r>
    </w:p>
    <w:p w14:paraId="05CDE03D">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（六）其他需要说明的情况。</w:t>
      </w:r>
    </w:p>
    <w:p w14:paraId="333B0FE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第十</w:t>
      </w:r>
      <w:r>
        <w:rPr>
          <w:rFonts w:hint="default" w:ascii="Times New Roman" w:hAnsi="Times New Roman" w:eastAsia="黑体" w:cs="Times New Roman"/>
          <w:color w:val="auto"/>
          <w:spacing w:val="4"/>
          <w:sz w:val="32"/>
          <w:szCs w:val="32"/>
          <w:highlight w:val="none"/>
          <w:lang w:eastAsia="zh-CN"/>
        </w:rPr>
        <w:t>四</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节能审查申报材料要素齐全、节能报告内容深度达到审查要求、符合法定形式的，节能审查机关应当予以受理。相关材料不符合要求的，节能审查机关应当当场或者</w:t>
      </w:r>
      <w:r>
        <w:rPr>
          <w:rFonts w:hint="eastAsia" w:ascii="Times New Roman" w:hAnsi="Times New Roman" w:eastAsia="仿宋_GB2312" w:cs="Times New Roman"/>
          <w:color w:val="auto"/>
          <w:spacing w:val="0"/>
          <w:position w:val="0"/>
          <w:sz w:val="32"/>
          <w:szCs w:val="32"/>
          <w:highlight w:val="none"/>
          <w:lang w:eastAsia="zh-CN" w:bidi="ar"/>
        </w:rPr>
        <w:t>5</w:t>
      </w:r>
      <w:r>
        <w:rPr>
          <w:rFonts w:hint="eastAsia" w:ascii="Times New Roman" w:hAnsi="Times New Roman" w:eastAsia="仿宋_GB2312" w:cs="Times New Roman"/>
          <w:color w:val="auto"/>
          <w:spacing w:val="0"/>
          <w:sz w:val="32"/>
          <w:szCs w:val="32"/>
          <w:highlight w:val="none"/>
          <w:lang w:eastAsia="zh-CN" w:bidi="ar"/>
        </w:rPr>
        <w:t>个工作日内一次告知建设单位需要补正的全部内容，逾期不告知的，自收到报告之日起即为受理。</w:t>
      </w:r>
    </w:p>
    <w:p w14:paraId="665A0E9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4"/>
          <w:sz w:val="32"/>
          <w:szCs w:val="32"/>
          <w:highlight w:val="none"/>
        </w:rPr>
        <w:t>第十</w:t>
      </w:r>
      <w:r>
        <w:rPr>
          <w:rFonts w:hint="default" w:ascii="Times New Roman" w:hAnsi="Times New Roman" w:eastAsia="黑体" w:cs="Times New Roman"/>
          <w:color w:val="auto"/>
          <w:spacing w:val="4"/>
          <w:sz w:val="32"/>
          <w:szCs w:val="32"/>
          <w:highlight w:val="none"/>
          <w:lang w:eastAsia="zh-CN"/>
        </w:rPr>
        <w:t>五</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节能审查机关受理节能审查申报材料后，需征求有关单位意见的，同步开展征求意见工作，对符合有关规定的，应委托具备技术能力的机构进行评审。</w:t>
      </w:r>
    </w:p>
    <w:p w14:paraId="6C9E992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节能评审机构应按照节能法律法规和政策要求，在节能审查机关规定的时间内开展评审工作，出具评审意见。评审意见作为节能审查的重要依据，评审机构及评审人员应对评审结论的真实性、科学性、合理性承担责任。</w:t>
      </w:r>
    </w:p>
    <w:p w14:paraId="4DBF8769">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1"/>
          <w:sz w:val="32"/>
          <w:szCs w:val="32"/>
          <w:highlight w:val="none"/>
        </w:rPr>
        <w:t>第十</w:t>
      </w:r>
      <w:r>
        <w:rPr>
          <w:rFonts w:hint="default" w:ascii="Times New Roman" w:hAnsi="Times New Roman" w:eastAsia="黑体" w:cs="Times New Roman"/>
          <w:color w:val="auto"/>
          <w:spacing w:val="-1"/>
          <w:sz w:val="32"/>
          <w:szCs w:val="32"/>
          <w:highlight w:val="none"/>
          <w:lang w:eastAsia="zh-CN"/>
        </w:rPr>
        <w:t>六</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节能审查机关应当从下列方面对项目进行审查：</w:t>
      </w:r>
    </w:p>
    <w:p w14:paraId="16B8899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项目是否符合节能降碳等有关法律法规、标准规范、政策制度和工作管理要求；</w:t>
      </w:r>
    </w:p>
    <w:p w14:paraId="1025FD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项目主要产品能效是否符合强制性能源消耗限额标准 要求，主要设备能效是否符合强制性能效标准要求；</w:t>
      </w:r>
    </w:p>
    <w:p w14:paraId="30CE91A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（三）</w:t>
      </w:r>
      <w:r>
        <w:rPr>
          <w:rFonts w:hint="eastAsia" w:ascii="Times New Roman" w:hAnsi="Times New Roman" w:eastAsia="仿宋_GB2312" w:cs="Times New Roman"/>
          <w:color w:val="auto"/>
          <w:spacing w:val="0"/>
          <w:sz w:val="32"/>
          <w:szCs w:val="32"/>
          <w:highlight w:val="none"/>
          <w:lang w:eastAsia="zh-CN" w:bidi="ar"/>
        </w:rPr>
        <w:t>项目节能降碳措施是否有力有效、合理可行，能源管理体系是否完备；</w:t>
      </w:r>
    </w:p>
    <w:p w14:paraId="1D80E3D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项目能源消费和碳排放数据核算及分析论证是否客观精准、方法是否科学、结论是否准确；</w:t>
      </w:r>
    </w:p>
    <w:p w14:paraId="1B2922DC">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（五）</w:t>
      </w:r>
      <w:r>
        <w:rPr>
          <w:rFonts w:hint="eastAsia" w:ascii="Times New Roman" w:hAnsi="Times New Roman" w:eastAsia="仿宋_GB2312" w:cs="Times New Roman"/>
          <w:color w:val="auto"/>
          <w:spacing w:val="0"/>
          <w:sz w:val="32"/>
          <w:szCs w:val="32"/>
          <w:highlight w:val="none"/>
          <w:lang w:eastAsia="zh-CN" w:bidi="ar"/>
        </w:rPr>
        <w:t>项目是否影响全省及所在地区碳排放形势、是否影响所在地区碳排放强度降低目标完成、单位产品和产值碳排放是否符合国家与行业标准、是否应用先进适用技术挖掘降碳潜力等。</w:t>
      </w:r>
    </w:p>
    <w:p w14:paraId="54FD216E">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4"/>
          <w:sz w:val="32"/>
          <w:szCs w:val="32"/>
          <w:highlight w:val="none"/>
        </w:rPr>
        <w:t>第十</w:t>
      </w:r>
      <w:r>
        <w:rPr>
          <w:rFonts w:hint="default" w:ascii="Times New Roman" w:hAnsi="Times New Roman" w:eastAsia="黑体" w:cs="Times New Roman"/>
          <w:color w:val="auto"/>
          <w:spacing w:val="4"/>
          <w:sz w:val="32"/>
          <w:szCs w:val="32"/>
          <w:highlight w:val="none"/>
          <w:lang w:eastAsia="zh-CN"/>
        </w:rPr>
        <w:t>七</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节能审查机关应在</w:t>
      </w:r>
      <w:r>
        <w:rPr>
          <w:rFonts w:hint="eastAsia" w:ascii="Times New Roman" w:hAnsi="Times New Roman" w:eastAsia="仿宋_GB2312" w:cs="Times New Roman"/>
          <w:color w:val="auto"/>
          <w:spacing w:val="0"/>
          <w:sz w:val="32"/>
          <w:szCs w:val="32"/>
          <w:highlight w:val="none"/>
          <w:lang w:val="en-US" w:eastAsia="zh-CN" w:bidi="ar"/>
        </w:rPr>
        <w:t>规定时间内对评审意见、节能审查材料进行复核或</w:t>
      </w:r>
      <w:r>
        <w:rPr>
          <w:rFonts w:hint="eastAsia" w:ascii="Times New Roman" w:hAnsi="Times New Roman" w:eastAsia="仿宋_GB2312" w:cs="Times New Roman"/>
          <w:color w:val="auto"/>
          <w:spacing w:val="0"/>
          <w:sz w:val="32"/>
          <w:szCs w:val="32"/>
          <w:highlight w:val="none"/>
          <w:lang w:eastAsia="zh-CN" w:bidi="ar"/>
        </w:rPr>
        <w:t>按照要求报请国家发展改革委进行复核，</w:t>
      </w:r>
      <w:r>
        <w:rPr>
          <w:rFonts w:hint="eastAsia" w:ascii="Times New Roman" w:hAnsi="Times New Roman" w:eastAsia="仿宋_GB2312" w:cs="Times New Roman"/>
          <w:color w:val="auto"/>
          <w:spacing w:val="0"/>
          <w:sz w:val="32"/>
          <w:szCs w:val="32"/>
          <w:highlight w:val="none"/>
          <w:lang w:val="en-US" w:eastAsia="zh-CN" w:bidi="ar"/>
        </w:rPr>
        <w:t>并</w:t>
      </w:r>
      <w:r>
        <w:rPr>
          <w:rFonts w:hint="eastAsia" w:ascii="Times New Roman" w:hAnsi="Times New Roman" w:eastAsia="仿宋_GB2312" w:cs="Times New Roman"/>
          <w:color w:val="auto"/>
          <w:spacing w:val="0"/>
          <w:sz w:val="32"/>
          <w:szCs w:val="32"/>
          <w:highlight w:val="none"/>
          <w:lang w:eastAsia="zh-CN" w:bidi="ar"/>
        </w:rPr>
        <w:t>出具节能审查意见或明确节能审查不予通过。</w:t>
      </w:r>
    </w:p>
    <w:p w14:paraId="15BC8816">
      <w:pPr>
        <w:pStyle w:val="2"/>
        <w:keepNext w:val="0"/>
        <w:keepLines w:val="0"/>
        <w:pageBreakBefore w:val="0"/>
        <w:widowControl w:val="0"/>
        <w:kinsoku/>
        <w:wordWrap/>
        <w:overflowPunct/>
        <w:topLinePunct w:val="0"/>
        <w:autoSpaceDE/>
        <w:autoSpaceDN/>
        <w:bidi w:val="0"/>
        <w:adjustRightInd w:val="0"/>
        <w:snapToGrid w:val="0"/>
        <w:spacing w:line="600" w:lineRule="exact"/>
        <w:ind w:firstLine="644"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第十</w:t>
      </w:r>
      <w:r>
        <w:rPr>
          <w:rFonts w:hint="default" w:ascii="Times New Roman" w:hAnsi="Times New Roman" w:eastAsia="黑体" w:cs="Times New Roman"/>
          <w:color w:val="auto"/>
          <w:spacing w:val="1"/>
          <w:sz w:val="32"/>
          <w:szCs w:val="32"/>
          <w:highlight w:val="none"/>
          <w:lang w:eastAsia="zh-CN"/>
        </w:rPr>
        <w:t>八</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项目建设单位应严格按照节能审查意见开</w:t>
      </w:r>
      <w:r>
        <w:rPr>
          <w:rFonts w:hint="eastAsia" w:ascii="Times New Roman" w:hAnsi="Times New Roman" w:eastAsia="仿宋_GB2312" w:cs="Times New Roman"/>
          <w:color w:val="auto"/>
          <w:sz w:val="32"/>
          <w:szCs w:val="32"/>
          <w:highlight w:val="none"/>
          <w:lang w:eastAsia="zh-CN" w:bidi="ar"/>
        </w:rPr>
        <w:t>展项目建</w:t>
      </w:r>
      <w:r>
        <w:rPr>
          <w:rFonts w:hint="eastAsia" w:ascii="Times New Roman" w:hAnsi="Times New Roman" w:eastAsia="仿宋_GB2312" w:cs="Times New Roman"/>
          <w:color w:val="auto"/>
          <w:spacing w:val="0"/>
          <w:sz w:val="32"/>
          <w:szCs w:val="32"/>
          <w:highlight w:val="none"/>
          <w:lang w:eastAsia="zh-CN" w:bidi="ar"/>
        </w:rPr>
        <w:t>设。通过节能审查的项目，在开工建设前或建设过程中发生重大变动的，建设单位应向原节能审查机关提交变更申请。项目节能审查权限发生变化的，建设单位应向有权审查机关提交变更申请。节能审查机关依据实际情况，作出同意变更的决定或重新进行节能审查。项目重大变动的情形包括下列方面：</w:t>
      </w:r>
    </w:p>
    <w:p w14:paraId="7F7CAA97">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（一）</w:t>
      </w:r>
      <w:r>
        <w:rPr>
          <w:rFonts w:hint="eastAsia" w:ascii="Times New Roman" w:hAnsi="Times New Roman" w:eastAsia="仿宋_GB2312" w:cs="Times New Roman"/>
          <w:color w:val="auto"/>
          <w:spacing w:val="0"/>
          <w:sz w:val="32"/>
          <w:szCs w:val="32"/>
          <w:highlight w:val="none"/>
          <w:lang w:eastAsia="zh-CN" w:bidi="ar"/>
        </w:rPr>
        <w:t>建设单位、建设地点、建设规模发生变化；</w:t>
      </w:r>
    </w:p>
    <w:p w14:paraId="101B6AB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（二）</w:t>
      </w:r>
      <w:r>
        <w:rPr>
          <w:rFonts w:hint="eastAsia" w:ascii="Times New Roman" w:hAnsi="Times New Roman" w:eastAsia="仿宋_GB2312" w:cs="Times New Roman"/>
          <w:color w:val="auto"/>
          <w:spacing w:val="0"/>
          <w:sz w:val="32"/>
          <w:szCs w:val="32"/>
          <w:highlight w:val="none"/>
          <w:lang w:eastAsia="zh-CN" w:bidi="ar"/>
        </w:rPr>
        <w:t>主要生产装置、用能设备、工艺技术路线等发生变化；</w:t>
      </w:r>
    </w:p>
    <w:p w14:paraId="6ECC0548">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（三）</w:t>
      </w:r>
      <w:r>
        <w:rPr>
          <w:rFonts w:hint="eastAsia" w:ascii="Times New Roman" w:hAnsi="Times New Roman" w:eastAsia="仿宋_GB2312" w:cs="Times New Roman"/>
          <w:color w:val="auto"/>
          <w:spacing w:val="0"/>
          <w:sz w:val="32"/>
          <w:szCs w:val="32"/>
          <w:highlight w:val="none"/>
          <w:lang w:eastAsia="zh-CN" w:bidi="ar"/>
        </w:rPr>
        <w:t>主要产品品种发生变化；</w:t>
      </w:r>
    </w:p>
    <w:p w14:paraId="101E4F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楷体_GB2312" w:hAnsi="楷体_GB2312" w:eastAsia="楷体_GB2312" w:cs="楷体_GB2312"/>
          <w:color w:val="auto"/>
          <w:spacing w:val="0"/>
          <w:sz w:val="32"/>
          <w:szCs w:val="32"/>
          <w:highlight w:val="none"/>
          <w:lang w:eastAsia="zh-CN" w:bidi="ar"/>
        </w:rPr>
        <w:t>（四）</w:t>
      </w:r>
      <w:r>
        <w:rPr>
          <w:rFonts w:hint="eastAsia" w:ascii="Times New Roman" w:hAnsi="Times New Roman" w:eastAsia="仿宋_GB2312" w:cs="Times New Roman"/>
          <w:color w:val="auto"/>
          <w:spacing w:val="0"/>
          <w:sz w:val="32"/>
          <w:szCs w:val="32"/>
          <w:highlight w:val="none"/>
          <w:lang w:eastAsia="zh-CN" w:bidi="ar"/>
        </w:rPr>
        <w:t>项目其他方面较节能报告、节能审查意见等发生重大变化。</w:t>
      </w:r>
    </w:p>
    <w:p w14:paraId="6047C1B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8"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3"/>
          <w:sz w:val="32"/>
          <w:szCs w:val="32"/>
          <w:highlight w:val="none"/>
        </w:rPr>
        <w:t>第十</w:t>
      </w:r>
      <w:r>
        <w:rPr>
          <w:rFonts w:hint="default" w:ascii="Times New Roman" w:hAnsi="Times New Roman" w:eastAsia="黑体" w:cs="Times New Roman"/>
          <w:color w:val="auto"/>
          <w:spacing w:val="-3"/>
          <w:sz w:val="32"/>
          <w:szCs w:val="32"/>
          <w:highlight w:val="none"/>
          <w:lang w:eastAsia="zh-CN"/>
        </w:rPr>
        <w:t>九</w:t>
      </w:r>
      <w:r>
        <w:rPr>
          <w:rFonts w:hint="default" w:ascii="Times New Roman" w:hAnsi="Times New Roman" w:eastAsia="黑体" w:cs="Times New Roman"/>
          <w:color w:val="auto"/>
          <w:spacing w:val="-3"/>
          <w:sz w:val="32"/>
          <w:szCs w:val="32"/>
          <w:highlight w:val="none"/>
        </w:rPr>
        <w:t>条</w:t>
      </w:r>
      <w:r>
        <w:rPr>
          <w:rFonts w:hint="default" w:ascii="Times New Roman" w:hAnsi="Times New Roman" w:eastAsia="仿宋_GB2312" w:cs="Times New Roman"/>
          <w:color w:val="auto"/>
          <w:spacing w:val="-3"/>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项目自节能审查机关出具节能审查意见或同意变更决定之日起</w:t>
      </w:r>
      <w:r>
        <w:rPr>
          <w:rFonts w:hint="eastAsia" w:ascii="Times New Roman" w:hAnsi="Times New Roman" w:eastAsia="仿宋_GB2312" w:cs="Times New Roman"/>
          <w:color w:val="auto"/>
          <w:spacing w:val="0"/>
          <w:position w:val="0"/>
          <w:sz w:val="32"/>
          <w:szCs w:val="32"/>
          <w:highlight w:val="none"/>
          <w:lang w:eastAsia="zh-CN" w:bidi="ar"/>
        </w:rPr>
        <w:t>2</w:t>
      </w:r>
      <w:r>
        <w:rPr>
          <w:rFonts w:hint="eastAsia" w:ascii="Times New Roman" w:hAnsi="Times New Roman" w:eastAsia="仿宋_GB2312" w:cs="Times New Roman"/>
          <w:color w:val="auto"/>
          <w:spacing w:val="0"/>
          <w:sz w:val="32"/>
          <w:szCs w:val="32"/>
          <w:highlight w:val="none"/>
          <w:lang w:eastAsia="zh-CN" w:bidi="ar"/>
        </w:rPr>
        <w:t>年内未开工建设，节能审查意见或同意变更决定自动失效。</w:t>
      </w:r>
    </w:p>
    <w:p w14:paraId="3BEE8709">
      <w:pPr>
        <w:keepNext w:val="0"/>
        <w:keepLines w:val="0"/>
        <w:pageBreakBefore w:val="0"/>
        <w:widowControl w:val="0"/>
        <w:kinsoku/>
        <w:wordWrap/>
        <w:overflowPunct/>
        <w:topLinePunct w:val="0"/>
        <w:autoSpaceDE/>
        <w:autoSpaceDN/>
        <w:bidi w:val="0"/>
        <w:adjustRightInd w:val="0"/>
        <w:snapToGrid w:val="0"/>
        <w:spacing w:line="600" w:lineRule="exact"/>
        <w:ind w:left="0" w:firstLine="612" w:firstLineChars="200"/>
        <w:jc w:val="center"/>
        <w:textAlignment w:val="baseline"/>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7"/>
          <w:sz w:val="32"/>
          <w:szCs w:val="32"/>
          <w:highlight w:val="none"/>
        </w:rPr>
        <w:t>第四章  监督管理</w:t>
      </w:r>
    </w:p>
    <w:p w14:paraId="7AE6E62B">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w:t>
      </w:r>
      <w:r>
        <w:rPr>
          <w:rFonts w:hint="default" w:ascii="Times New Roman" w:hAnsi="Times New Roman" w:eastAsia="黑体" w:cs="Times New Roman"/>
          <w:color w:val="auto"/>
          <w:spacing w:val="1"/>
          <w:sz w:val="32"/>
          <w:szCs w:val="32"/>
          <w:highlight w:val="none"/>
          <w:lang w:eastAsia="zh-CN"/>
        </w:rPr>
        <w:t>二</w:t>
      </w:r>
      <w:r>
        <w:rPr>
          <w:rFonts w:hint="default" w:ascii="Times New Roman" w:hAnsi="Times New Roman" w:eastAsia="黑体" w:cs="Times New Roman"/>
          <w:color w:val="auto"/>
          <w:spacing w:val="1"/>
          <w:sz w:val="32"/>
          <w:szCs w:val="32"/>
          <w:highlight w:val="none"/>
        </w:rPr>
        <w:t>十条</w:t>
      </w:r>
      <w:r>
        <w:rPr>
          <w:rFonts w:hint="default" w:ascii="Times New Roman" w:hAnsi="Times New Roman" w:eastAsia="仿宋_GB2312" w:cs="Times New Roman"/>
          <w:color w:val="auto"/>
          <w:spacing w:val="8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固定资产投资项目节能审查应纳入投资项目在线审批监管平台统一管理（涉及国家秘密的项目除外），实行网上受理、办理、监管和服务，实现审查过程和结果的可查询、可监督。不单独进行节能审查的固定资产投资项目应通过投资项目在线审批监管平台报送项目能源消费等情况。</w:t>
      </w:r>
    </w:p>
    <w:p w14:paraId="5289CA63">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default" w:ascii="Times New Roman" w:hAnsi="Times New Roman" w:eastAsia="黑体" w:cs="Times New Roman"/>
          <w:color w:val="auto"/>
          <w:spacing w:val="1"/>
          <w:sz w:val="32"/>
          <w:szCs w:val="32"/>
          <w:highlight w:val="none"/>
        </w:rPr>
        <w:t>第二十</w:t>
      </w:r>
      <w:r>
        <w:rPr>
          <w:rFonts w:hint="default" w:ascii="Times New Roman" w:hAnsi="Times New Roman" w:eastAsia="黑体" w:cs="Times New Roman"/>
          <w:color w:val="auto"/>
          <w:spacing w:val="1"/>
          <w:sz w:val="32"/>
          <w:szCs w:val="32"/>
          <w:highlight w:val="none"/>
          <w:lang w:eastAsia="zh-CN"/>
        </w:rPr>
        <w:t>一</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8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固定资产投资项目投入生产、使用前（按规定需要试运行的，原则上应在试运行之日起</w:t>
      </w:r>
      <w:r>
        <w:rPr>
          <w:rFonts w:hint="eastAsia" w:ascii="Times New Roman" w:hAnsi="Times New Roman" w:eastAsia="仿宋_GB2312" w:cs="Times New Roman"/>
          <w:color w:val="auto"/>
          <w:spacing w:val="0"/>
          <w:position w:val="0"/>
          <w:sz w:val="32"/>
          <w:szCs w:val="32"/>
          <w:highlight w:val="none"/>
          <w:lang w:eastAsia="zh-CN" w:bidi="ar"/>
        </w:rPr>
        <w:t>6</w:t>
      </w:r>
      <w:r>
        <w:rPr>
          <w:rFonts w:hint="eastAsia" w:ascii="Times New Roman" w:hAnsi="Times New Roman" w:eastAsia="仿宋_GB2312" w:cs="Times New Roman"/>
          <w:color w:val="auto"/>
          <w:spacing w:val="0"/>
          <w:sz w:val="32"/>
          <w:szCs w:val="32"/>
          <w:highlight w:val="none"/>
          <w:lang w:eastAsia="zh-CN" w:bidi="ar"/>
        </w:rPr>
        <w:t>个月内），建设单位应</w:t>
      </w:r>
      <w:r>
        <w:rPr>
          <w:rFonts w:hint="eastAsia" w:ascii="Times New Roman" w:hAnsi="Times New Roman" w:eastAsia="仿宋_GB2312" w:cs="Times New Roman"/>
          <w:color w:val="auto"/>
          <w:spacing w:val="0"/>
          <w:sz w:val="32"/>
          <w:szCs w:val="32"/>
          <w:highlight w:val="none"/>
          <w:lang w:val="en-US" w:eastAsia="zh-CN" w:bidi="ar"/>
        </w:rPr>
        <w:t>据实编制节能审查验收自查报告，对报告内容的真实性</w:t>
      </w:r>
      <w:r>
        <w:rPr>
          <w:rFonts w:hint="eastAsia"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val="en-US" w:eastAsia="zh-CN" w:bidi="ar"/>
        </w:rPr>
        <w:t>准确性和完整性负责，并将自查报告报送原节能审查机关申请验收；原节能审查机关</w:t>
      </w:r>
      <w:r>
        <w:rPr>
          <w:rFonts w:hint="eastAsia" w:ascii="Times New Roman" w:hAnsi="Times New Roman" w:eastAsia="仿宋_GB2312" w:cs="Times New Roman"/>
          <w:color w:val="auto"/>
          <w:spacing w:val="0"/>
          <w:sz w:val="32"/>
          <w:szCs w:val="32"/>
          <w:highlight w:val="none"/>
          <w:lang w:eastAsia="zh-CN" w:bidi="ar"/>
        </w:rPr>
        <w:t>组织或委托第三方机构对项目节能审查意见和节能报告中的生产工艺、用能设备、节能降碳技术、能源计量器具等落实情况进行验收，</w:t>
      </w:r>
      <w:r>
        <w:rPr>
          <w:rFonts w:hint="eastAsia" w:ascii="Times New Roman" w:hAnsi="Times New Roman" w:eastAsia="仿宋_GB2312" w:cs="Times New Roman"/>
          <w:color w:val="auto"/>
          <w:spacing w:val="0"/>
          <w:sz w:val="32"/>
          <w:szCs w:val="32"/>
          <w:highlight w:val="none"/>
          <w:lang w:val="en-US" w:eastAsia="zh-CN" w:bidi="ar"/>
        </w:rPr>
        <w:t>并出具验收意见。</w:t>
      </w:r>
      <w:r>
        <w:rPr>
          <w:rFonts w:hint="eastAsia" w:ascii="Times New Roman" w:hAnsi="Times New Roman" w:eastAsia="仿宋_GB2312" w:cs="Times New Roman"/>
          <w:color w:val="auto"/>
          <w:spacing w:val="0"/>
          <w:sz w:val="32"/>
          <w:szCs w:val="32"/>
          <w:highlight w:val="none"/>
          <w:lang w:eastAsia="zh-CN" w:bidi="ar"/>
        </w:rPr>
        <w:t>分期建设、投入生产使用的项目，应分期进行验收。实行区域节能审查的项目，</w:t>
      </w:r>
      <w:r>
        <w:rPr>
          <w:rFonts w:hint="eastAsia" w:ascii="Times New Roman" w:hAnsi="Times New Roman" w:eastAsia="仿宋_GB2312" w:cs="Times New Roman"/>
          <w:color w:val="auto"/>
          <w:spacing w:val="0"/>
          <w:sz w:val="32"/>
          <w:szCs w:val="32"/>
          <w:highlight w:val="none"/>
          <w:lang w:val="en-US" w:eastAsia="zh-CN" w:bidi="ar"/>
        </w:rPr>
        <w:t>由市（州）节能审查机关明确验收主体</w:t>
      </w:r>
      <w:r>
        <w:rPr>
          <w:rFonts w:hint="eastAsia" w:ascii="Times New Roman" w:hAnsi="Times New Roman" w:eastAsia="仿宋_GB2312" w:cs="Times New Roman"/>
          <w:color w:val="auto"/>
          <w:spacing w:val="0"/>
          <w:sz w:val="32"/>
          <w:szCs w:val="32"/>
          <w:highlight w:val="none"/>
          <w:lang w:eastAsia="zh-CN" w:bidi="ar"/>
        </w:rPr>
        <w:t>对承诺内容进行验收。国家发展改革委负责实施节能审查的固定资产投资项目，由省级节能审查机关</w:t>
      </w:r>
      <w:r>
        <w:rPr>
          <w:rFonts w:hint="eastAsia" w:ascii="Times New Roman" w:hAnsi="Times New Roman" w:eastAsia="仿宋_GB2312" w:cs="Times New Roman"/>
          <w:color w:val="auto"/>
          <w:spacing w:val="0"/>
          <w:sz w:val="32"/>
          <w:szCs w:val="32"/>
          <w:highlight w:val="none"/>
          <w:lang w:val="en-US" w:eastAsia="zh-CN" w:bidi="ar"/>
        </w:rPr>
        <w:t>组织</w:t>
      </w:r>
      <w:r>
        <w:rPr>
          <w:rFonts w:hint="eastAsia" w:ascii="Times New Roman" w:hAnsi="Times New Roman" w:eastAsia="仿宋_GB2312" w:cs="Times New Roman"/>
          <w:color w:val="auto"/>
          <w:spacing w:val="0"/>
          <w:sz w:val="32"/>
          <w:szCs w:val="32"/>
          <w:highlight w:val="none"/>
          <w:lang w:eastAsia="zh-CN" w:bidi="ar"/>
        </w:rPr>
        <w:t>验收。</w:t>
      </w:r>
    </w:p>
    <w:p w14:paraId="27183A59">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snapToGrid w:val="0"/>
          <w:color w:val="auto"/>
          <w:spacing w:val="0"/>
          <w:kern w:val="0"/>
          <w:sz w:val="32"/>
          <w:szCs w:val="32"/>
          <w:highlight w:val="none"/>
          <w:lang w:val="en-US" w:eastAsia="zh-CN" w:bidi="ar"/>
        </w:rPr>
      </w:pPr>
      <w:r>
        <w:rPr>
          <w:rFonts w:hint="eastAsia" w:ascii="Times New Roman" w:hAnsi="Times New Roman" w:eastAsia="仿宋_GB2312" w:cs="Times New Roman"/>
          <w:snapToGrid w:val="0"/>
          <w:color w:val="auto"/>
          <w:spacing w:val="0"/>
          <w:kern w:val="0"/>
          <w:sz w:val="32"/>
          <w:szCs w:val="32"/>
          <w:highlight w:val="none"/>
          <w:lang w:val="en-US" w:eastAsia="zh-CN" w:bidi="ar"/>
        </w:rPr>
        <w:t>不单独进行节能审查的固定资产投资项目，建设单位应当在项目投入生产、使用后一年内对承诺情况进行验收，如项目实际能源消费量属于应进行节能审查类别，参照本办法第二十六条有关规定执行。</w:t>
      </w:r>
    </w:p>
    <w:p w14:paraId="2D7814C2">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节能验收具体实施办法由省发展改革委</w:t>
      </w:r>
      <w:r>
        <w:rPr>
          <w:rFonts w:hint="eastAsia" w:ascii="Times New Roman" w:hAnsi="Times New Roman" w:eastAsia="仿宋_GB2312" w:cs="Times New Roman"/>
          <w:color w:val="auto"/>
          <w:spacing w:val="0"/>
          <w:sz w:val="32"/>
          <w:szCs w:val="32"/>
          <w:highlight w:val="none"/>
          <w:lang w:val="en-US" w:eastAsia="zh-CN" w:bidi="ar"/>
        </w:rPr>
        <w:t>会同有关部门</w:t>
      </w:r>
      <w:r>
        <w:rPr>
          <w:rFonts w:hint="eastAsia" w:ascii="Times New Roman" w:hAnsi="Times New Roman" w:eastAsia="仿宋_GB2312" w:cs="Times New Roman"/>
          <w:color w:val="auto"/>
          <w:spacing w:val="0"/>
          <w:sz w:val="32"/>
          <w:szCs w:val="32"/>
          <w:highlight w:val="none"/>
          <w:lang w:eastAsia="zh-CN" w:bidi="ar"/>
        </w:rPr>
        <w:t>另行制定。</w:t>
      </w:r>
    </w:p>
    <w:p w14:paraId="0F3B4749">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32"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二</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68"/>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固定资产投资项目节能审查日常监督管理和违法违规行为处理按照属地管理原则由相应</w:t>
      </w:r>
      <w:r>
        <w:rPr>
          <w:rFonts w:hint="eastAsia" w:ascii="Times New Roman" w:hAnsi="Times New Roman" w:eastAsia="仿宋_GB2312" w:cs="Times New Roman"/>
          <w:color w:val="auto"/>
          <w:spacing w:val="0"/>
          <w:sz w:val="32"/>
          <w:szCs w:val="32"/>
          <w:highlight w:val="none"/>
          <w:lang w:val="en-US" w:eastAsia="zh-CN" w:bidi="ar"/>
        </w:rPr>
        <w:t>部门</w:t>
      </w:r>
      <w:r>
        <w:rPr>
          <w:rFonts w:hint="eastAsia" w:ascii="Times New Roman" w:hAnsi="Times New Roman" w:eastAsia="仿宋_GB2312" w:cs="Times New Roman"/>
          <w:color w:val="auto"/>
          <w:spacing w:val="0"/>
          <w:sz w:val="32"/>
          <w:szCs w:val="32"/>
          <w:highlight w:val="none"/>
          <w:lang w:eastAsia="zh-CN" w:bidi="ar"/>
        </w:rPr>
        <w:t>负责。各级节能审查机关要将节能审查实施情况作为节能监察的重点内容，按照“双随机</w:t>
      </w:r>
      <w:r>
        <w:rPr>
          <w:rFonts w:hint="default"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eastAsia="zh-CN" w:bidi="ar"/>
        </w:rPr>
        <w:t>一公开”原则组织对项目节能审查验收、节能审查意见落实等情况进行监督检查。</w:t>
      </w:r>
    </w:p>
    <w:p w14:paraId="5D1EA0D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省发展改革委</w:t>
      </w:r>
      <w:r>
        <w:rPr>
          <w:rFonts w:hint="eastAsia" w:ascii="Times New Roman" w:hAnsi="Times New Roman" w:eastAsia="仿宋_GB2312" w:cs="Times New Roman"/>
          <w:color w:val="auto"/>
          <w:spacing w:val="0"/>
          <w:sz w:val="32"/>
          <w:szCs w:val="32"/>
          <w:highlight w:val="none"/>
          <w:lang w:val="en-US" w:eastAsia="zh-CN" w:bidi="ar"/>
        </w:rPr>
        <w:t>会同省工业和信息化厅</w:t>
      </w:r>
      <w:r>
        <w:rPr>
          <w:rFonts w:hint="eastAsia"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val="en-US" w:eastAsia="zh-CN" w:bidi="ar"/>
        </w:rPr>
        <w:t>省能源局</w:t>
      </w:r>
      <w:r>
        <w:rPr>
          <w:rFonts w:hint="eastAsia" w:ascii="Times New Roman" w:hAnsi="Times New Roman" w:eastAsia="仿宋_GB2312" w:cs="Times New Roman"/>
          <w:color w:val="auto"/>
          <w:spacing w:val="0"/>
          <w:sz w:val="32"/>
          <w:szCs w:val="32"/>
          <w:highlight w:val="none"/>
          <w:lang w:eastAsia="zh-CN" w:bidi="ar"/>
        </w:rPr>
        <w:t>实施全省节能审查动态监管，对各地节能审查实施情况进行监督检查，对重大项目节能审查意见落实、节能审查验收等情况进行不定期抽查。检查抽查结果作为节能降碳相关评价考核的重要内容。</w:t>
      </w:r>
    </w:p>
    <w:p w14:paraId="08CFE6D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三</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各级发展改革部门应加强节能审查信息的统计分析，系统梳理本地区已批复节能审查项目情况，定期调度已投产项目能源消费、碳排放、能效水平等情况，作为研判节能降碳形势、开展节能降碳工作的重要参考。</w:t>
      </w:r>
    </w:p>
    <w:p w14:paraId="79265818">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val="en-US" w:eastAsia="zh-CN" w:bidi="ar"/>
        </w:rPr>
        <w:t>省</w:t>
      </w:r>
      <w:r>
        <w:rPr>
          <w:rFonts w:hint="eastAsia" w:ascii="Times New Roman" w:hAnsi="Times New Roman" w:eastAsia="仿宋_GB2312" w:cs="Times New Roman"/>
          <w:color w:val="auto"/>
          <w:spacing w:val="0"/>
          <w:sz w:val="32"/>
          <w:szCs w:val="32"/>
          <w:highlight w:val="none"/>
          <w:lang w:eastAsia="zh-CN" w:bidi="ar"/>
        </w:rPr>
        <w:t>级节能审查机关应定期</w:t>
      </w:r>
      <w:r>
        <w:rPr>
          <w:rFonts w:hint="eastAsia" w:ascii="Times New Roman" w:hAnsi="Times New Roman" w:eastAsia="仿宋_GB2312" w:cs="Times New Roman"/>
          <w:color w:val="auto"/>
          <w:spacing w:val="0"/>
          <w:sz w:val="32"/>
          <w:szCs w:val="32"/>
          <w:highlight w:val="none"/>
          <w:lang w:val="en-US" w:eastAsia="zh-CN" w:bidi="ar"/>
        </w:rPr>
        <w:t>汇总</w:t>
      </w:r>
      <w:r>
        <w:rPr>
          <w:rFonts w:hint="eastAsia" w:ascii="Times New Roman" w:hAnsi="Times New Roman" w:eastAsia="仿宋_GB2312" w:cs="Times New Roman"/>
          <w:color w:val="auto"/>
          <w:spacing w:val="0"/>
          <w:sz w:val="32"/>
          <w:szCs w:val="32"/>
          <w:highlight w:val="none"/>
          <w:lang w:eastAsia="zh-CN" w:bidi="ar"/>
        </w:rPr>
        <w:t>本领域项目节能审查信息和已投产项目调度数据报送</w:t>
      </w:r>
      <w:r>
        <w:rPr>
          <w:rFonts w:hint="eastAsia" w:ascii="Times New Roman" w:hAnsi="Times New Roman" w:eastAsia="仿宋_GB2312" w:cs="Times New Roman"/>
          <w:color w:val="auto"/>
          <w:spacing w:val="0"/>
          <w:sz w:val="32"/>
          <w:szCs w:val="32"/>
          <w:highlight w:val="none"/>
          <w:lang w:val="en-US" w:eastAsia="zh-CN" w:bidi="ar"/>
        </w:rPr>
        <w:t>省</w:t>
      </w:r>
      <w:r>
        <w:rPr>
          <w:rFonts w:hint="eastAsia" w:ascii="Times New Roman" w:hAnsi="Times New Roman" w:eastAsia="仿宋_GB2312" w:cs="Times New Roman"/>
          <w:color w:val="auto"/>
          <w:spacing w:val="0"/>
          <w:sz w:val="32"/>
          <w:szCs w:val="32"/>
          <w:highlight w:val="none"/>
          <w:lang w:eastAsia="zh-CN" w:bidi="ar"/>
        </w:rPr>
        <w:t>发展改革</w:t>
      </w:r>
      <w:r>
        <w:rPr>
          <w:rFonts w:hint="eastAsia" w:ascii="Times New Roman" w:hAnsi="Times New Roman" w:eastAsia="仿宋_GB2312" w:cs="Times New Roman"/>
          <w:color w:val="auto"/>
          <w:spacing w:val="0"/>
          <w:sz w:val="32"/>
          <w:szCs w:val="32"/>
          <w:highlight w:val="none"/>
          <w:lang w:val="en-US" w:eastAsia="zh-CN" w:bidi="ar"/>
        </w:rPr>
        <w:t>委</w:t>
      </w:r>
      <w:r>
        <w:rPr>
          <w:rFonts w:hint="eastAsia" w:ascii="Times New Roman" w:hAnsi="Times New Roman" w:eastAsia="仿宋_GB2312" w:cs="Times New Roman"/>
          <w:color w:val="auto"/>
          <w:spacing w:val="0"/>
          <w:sz w:val="32"/>
          <w:szCs w:val="32"/>
          <w:highlight w:val="none"/>
          <w:lang w:eastAsia="zh-CN" w:bidi="ar"/>
        </w:rPr>
        <w:t>。</w:t>
      </w:r>
    </w:p>
    <w:p w14:paraId="6C81959E">
      <w:pPr>
        <w:keepNext w:val="0"/>
        <w:keepLines w:val="0"/>
        <w:pageBreakBefore w:val="0"/>
        <w:widowControl w:val="0"/>
        <w:kinsoku/>
        <w:wordWrap/>
        <w:overflowPunct/>
        <w:topLinePunct w:val="0"/>
        <w:autoSpaceDE/>
        <w:autoSpaceDN/>
        <w:bidi w:val="0"/>
        <w:adjustRightInd w:val="0"/>
        <w:snapToGrid w:val="0"/>
        <w:spacing w:line="600" w:lineRule="exact"/>
        <w:ind w:left="0" w:firstLine="632" w:firstLineChars="200"/>
        <w:jc w:val="center"/>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第五章  法律责任</w:t>
      </w:r>
    </w:p>
    <w:p w14:paraId="40EB60A5">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四</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对未按本办法规定进行节能审查，或节能审查未获通过，擅自开工建设或擅自投入生产、使用的固定资产投资项目，由项目所在地管理节能工作的部门责令停止建设或停止生产、使用，限期整改。对经认定完成整改的项目不再出具节能审查意见，由有权限的节能审查机关依据实际情况出具相关证明。不能整改、整改不到位或逾期不整改的生产性项目，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管理节能工作的部门报请本级人民政府按照国务院规定的权限责令关闭，并依法追究有关责任人的责任。</w:t>
      </w:r>
    </w:p>
    <w:p w14:paraId="4303DA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2"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五</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75"/>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以拆分项目、提供虚假材料等不正当手段通过节</w:t>
      </w:r>
      <w:r>
        <w:rPr>
          <w:rFonts w:hint="eastAsia" w:ascii="Times New Roman" w:hAnsi="Times New Roman" w:eastAsia="仿宋_GB2312" w:cs="Times New Roman"/>
          <w:color w:val="auto"/>
          <w:sz w:val="32"/>
          <w:szCs w:val="32"/>
          <w:highlight w:val="none"/>
          <w:lang w:eastAsia="zh-CN" w:bidi="ar"/>
        </w:rPr>
        <w:t>能审查的固定资产投资项目，由节能审查机关撤销项目的节能审</w:t>
      </w:r>
      <w:r>
        <w:rPr>
          <w:rFonts w:hint="eastAsia" w:ascii="Times New Roman" w:hAnsi="Times New Roman" w:eastAsia="仿宋_GB2312" w:cs="Times New Roman"/>
          <w:color w:val="auto"/>
          <w:spacing w:val="0"/>
          <w:sz w:val="32"/>
          <w:szCs w:val="32"/>
          <w:highlight w:val="none"/>
          <w:lang w:eastAsia="zh-CN" w:bidi="ar"/>
        </w:rPr>
        <w:t>查意见。项目已开工建设或投入生产、使用的，按本办法第二十四条有关规定进行处罚。</w:t>
      </w:r>
    </w:p>
    <w:p w14:paraId="6C288EB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32"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2"/>
          <w:sz w:val="32"/>
          <w:szCs w:val="32"/>
          <w:highlight w:val="none"/>
        </w:rPr>
        <w:t>第二十</w:t>
      </w:r>
      <w:r>
        <w:rPr>
          <w:rFonts w:hint="default" w:ascii="Times New Roman" w:hAnsi="Times New Roman" w:eastAsia="黑体" w:cs="Times New Roman"/>
          <w:color w:val="auto"/>
          <w:spacing w:val="-2"/>
          <w:sz w:val="32"/>
          <w:szCs w:val="32"/>
          <w:highlight w:val="none"/>
          <w:lang w:eastAsia="zh-CN"/>
        </w:rPr>
        <w:t>六</w:t>
      </w:r>
      <w:r>
        <w:rPr>
          <w:rFonts w:hint="default" w:ascii="Times New Roman" w:hAnsi="Times New Roman" w:eastAsia="黑体" w:cs="Times New Roman"/>
          <w:color w:val="auto"/>
          <w:spacing w:val="-2"/>
          <w:sz w:val="32"/>
          <w:szCs w:val="32"/>
          <w:highlight w:val="none"/>
        </w:rPr>
        <w:t>条</w:t>
      </w:r>
      <w:r>
        <w:rPr>
          <w:rFonts w:hint="default" w:ascii="Times New Roman" w:hAnsi="Times New Roman" w:eastAsia="仿宋_GB2312" w:cs="Times New Roman"/>
          <w:color w:val="auto"/>
          <w:spacing w:val="-2"/>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项目已投入生产、使用，发生本办法第十八条规定的重大变动，或存在单位产品综合能耗和碳排放、年实际综合能源消费量或碳排放总量高于节能审查批复水平10%等未落实节能审查意见要求的，由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管理节能工作的部门责令建设单位限期整改。不能整改、整改不到位或逾期不整改的，由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管理节能工作的部门按照法律法规的有关规定进行处罚。</w:t>
      </w:r>
    </w:p>
    <w:p w14:paraId="784E8DF1">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9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4"/>
          <w:sz w:val="32"/>
          <w:szCs w:val="32"/>
          <w:highlight w:val="none"/>
        </w:rPr>
        <w:t>第二十</w:t>
      </w:r>
      <w:r>
        <w:rPr>
          <w:rFonts w:hint="default" w:ascii="Times New Roman" w:hAnsi="Times New Roman" w:eastAsia="黑体" w:cs="Times New Roman"/>
          <w:color w:val="auto"/>
          <w:spacing w:val="14"/>
          <w:sz w:val="32"/>
          <w:szCs w:val="32"/>
          <w:highlight w:val="none"/>
          <w:lang w:eastAsia="zh-CN"/>
        </w:rPr>
        <w:t>七</w:t>
      </w:r>
      <w:r>
        <w:rPr>
          <w:rFonts w:hint="default" w:ascii="Times New Roman" w:hAnsi="Times New Roman" w:eastAsia="黑体" w:cs="Times New Roman"/>
          <w:color w:val="auto"/>
          <w:spacing w:val="14"/>
          <w:sz w:val="32"/>
          <w:szCs w:val="32"/>
          <w:highlight w:val="none"/>
        </w:rPr>
        <w:t>条</w:t>
      </w:r>
      <w:r>
        <w:rPr>
          <w:rFonts w:hint="default" w:ascii="Times New Roman" w:hAnsi="Times New Roman" w:eastAsia="仿宋_GB2312" w:cs="Times New Roman"/>
          <w:color w:val="auto"/>
          <w:spacing w:val="57"/>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未按本办法规定进行节能审查验收或验收不合格，擅自投入生产、使用的固定资产投资项目，以及以提供虚假材料等不正当手段通过节能审查验收的固定资产投资项目，由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管理节能工作的部门责令建设单位限期整改。不能整改、整改不到位或逾期不整改的，由</w:t>
      </w:r>
      <w:r>
        <w:rPr>
          <w:rFonts w:hint="eastAsia" w:ascii="Times New Roman" w:hAnsi="Times New Roman" w:eastAsia="仿宋_GB2312" w:cs="Times New Roman"/>
          <w:color w:val="auto"/>
          <w:spacing w:val="0"/>
          <w:sz w:val="32"/>
          <w:szCs w:val="32"/>
          <w:highlight w:val="none"/>
          <w:lang w:val="en-US" w:eastAsia="zh-CN" w:bidi="ar"/>
        </w:rPr>
        <w:t>项目所在地</w:t>
      </w:r>
      <w:r>
        <w:rPr>
          <w:rFonts w:hint="eastAsia" w:ascii="Times New Roman" w:hAnsi="Times New Roman" w:eastAsia="仿宋_GB2312" w:cs="Times New Roman"/>
          <w:color w:val="auto"/>
          <w:spacing w:val="0"/>
          <w:sz w:val="32"/>
          <w:szCs w:val="32"/>
          <w:highlight w:val="none"/>
          <w:lang w:eastAsia="zh-CN" w:bidi="ar"/>
        </w:rPr>
        <w:t>管理节能工作的部门按照法律法规的有关规定进行处罚。</w:t>
      </w:r>
    </w:p>
    <w:p w14:paraId="1B98BD9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八</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从事节能咨询、评审等节能服务的机构提供节能审查虚假信息或咨询评估意见严重失实的，由管理节能工作的部门责令改正，没收违法所得，并按照法律法规的有关规定处罚。</w:t>
      </w:r>
    </w:p>
    <w:p w14:paraId="208FAF80">
      <w:pPr>
        <w:pStyle w:val="2"/>
        <w:keepNext w:val="0"/>
        <w:keepLines w:val="0"/>
        <w:pageBreakBefore w:val="0"/>
        <w:widowControl w:val="0"/>
        <w:kinsoku/>
        <w:wordWrap/>
        <w:overflowPunct/>
        <w:topLinePunct w:val="0"/>
        <w:autoSpaceDE/>
        <w:autoSpaceDN/>
        <w:bidi w:val="0"/>
        <w:adjustRightInd w:val="0"/>
        <w:snapToGrid w:val="0"/>
        <w:spacing w:line="600" w:lineRule="exact"/>
        <w:ind w:right="0" w:firstLine="656"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4"/>
          <w:sz w:val="32"/>
          <w:szCs w:val="32"/>
          <w:highlight w:val="none"/>
        </w:rPr>
        <w:t>第二十</w:t>
      </w:r>
      <w:r>
        <w:rPr>
          <w:rFonts w:hint="default" w:ascii="Times New Roman" w:hAnsi="Times New Roman" w:eastAsia="黑体" w:cs="Times New Roman"/>
          <w:color w:val="auto"/>
          <w:spacing w:val="4"/>
          <w:sz w:val="32"/>
          <w:szCs w:val="32"/>
          <w:highlight w:val="none"/>
          <w:lang w:eastAsia="zh-CN"/>
        </w:rPr>
        <w:t>九</w:t>
      </w:r>
      <w:r>
        <w:rPr>
          <w:rFonts w:hint="default" w:ascii="Times New Roman" w:hAnsi="Times New Roman" w:eastAsia="黑体" w:cs="Times New Roman"/>
          <w:color w:val="auto"/>
          <w:spacing w:val="4"/>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管理节能工作的部门对建设单位、节能服务机构等的违法违规信息进行归集和记录，将违法违规行为及其处理信息纳入全国信用信息共享平台（贵州）和投资项目在线审批监管平台，在“信用中国（贵州）”网站向社会公开。对列入严重失信主体名单的，依法依规实施联合惩戒措施。</w:t>
      </w:r>
    </w:p>
    <w:p w14:paraId="07E2A28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pacing w:val="-1"/>
          <w:sz w:val="32"/>
          <w:szCs w:val="32"/>
          <w:highlight w:val="none"/>
        </w:rPr>
        <w:t>第</w:t>
      </w:r>
      <w:r>
        <w:rPr>
          <w:rFonts w:hint="default" w:ascii="Times New Roman" w:hAnsi="Times New Roman" w:eastAsia="黑体" w:cs="Times New Roman"/>
          <w:color w:val="auto"/>
          <w:spacing w:val="-1"/>
          <w:sz w:val="32"/>
          <w:szCs w:val="32"/>
          <w:highlight w:val="none"/>
          <w:lang w:eastAsia="zh-CN"/>
        </w:rPr>
        <w:t>三</w:t>
      </w:r>
      <w:r>
        <w:rPr>
          <w:rFonts w:hint="default" w:ascii="Times New Roman" w:hAnsi="Times New Roman" w:eastAsia="黑体" w:cs="Times New Roman"/>
          <w:color w:val="auto"/>
          <w:spacing w:val="-1"/>
          <w:sz w:val="32"/>
          <w:szCs w:val="32"/>
          <w:highlight w:val="none"/>
        </w:rPr>
        <w:t>十条</w:t>
      </w:r>
      <w:r>
        <w:rPr>
          <w:rFonts w:hint="default" w:ascii="Times New Roman" w:hAnsi="Times New Roman" w:eastAsia="黑体" w:cs="Times New Roman"/>
          <w:color w:val="auto"/>
          <w:spacing w:val="49"/>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负责审批政府投资项目的工作人员，对未进行节能审查或节能审查未获通过的项目，违反本办法规定予以批准的，依法给予处分。</w:t>
      </w:r>
    </w:p>
    <w:p w14:paraId="43410F0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36"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1"/>
          <w:sz w:val="32"/>
          <w:szCs w:val="32"/>
          <w:highlight w:val="none"/>
        </w:rPr>
        <w:t>第三十</w:t>
      </w:r>
      <w:r>
        <w:rPr>
          <w:rFonts w:hint="default" w:ascii="Times New Roman" w:hAnsi="Times New Roman" w:eastAsia="黑体" w:cs="Times New Roman"/>
          <w:color w:val="auto"/>
          <w:spacing w:val="-1"/>
          <w:sz w:val="32"/>
          <w:szCs w:val="32"/>
          <w:highlight w:val="none"/>
          <w:lang w:eastAsia="zh-CN"/>
        </w:rPr>
        <w:t>一</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4"/>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节能审查机关、节能评审机构工作人员以及其他参与评审的有关人员在节能评审中存在违纪违法行为，依法依规给予处分，构成犯罪的依法追究刑事责任。</w:t>
      </w:r>
    </w:p>
    <w:p w14:paraId="32E75F53">
      <w:pPr>
        <w:keepNext w:val="0"/>
        <w:keepLines w:val="0"/>
        <w:pageBreakBefore w:val="0"/>
        <w:widowControl w:val="0"/>
        <w:kinsoku/>
        <w:wordWrap/>
        <w:overflowPunct/>
        <w:topLinePunct w:val="0"/>
        <w:autoSpaceDE/>
        <w:autoSpaceDN/>
        <w:bidi w:val="0"/>
        <w:adjustRightInd w:val="0"/>
        <w:snapToGrid w:val="0"/>
        <w:spacing w:line="600" w:lineRule="exact"/>
        <w:ind w:left="0" w:firstLine="600" w:firstLineChars="200"/>
        <w:jc w:val="center"/>
        <w:textAlignment w:val="baseline"/>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pacing w:val="-10"/>
          <w:sz w:val="32"/>
          <w:szCs w:val="32"/>
          <w:highlight w:val="none"/>
        </w:rPr>
        <w:t>第六章</w:t>
      </w:r>
      <w:r>
        <w:rPr>
          <w:rFonts w:hint="default" w:ascii="Times New Roman" w:hAnsi="Times New Roman" w:eastAsia="黑体" w:cs="Times New Roman"/>
          <w:color w:val="auto"/>
          <w:spacing w:val="16"/>
          <w:sz w:val="32"/>
          <w:szCs w:val="32"/>
          <w:highlight w:val="none"/>
        </w:rPr>
        <w:t xml:space="preserve">  </w:t>
      </w:r>
      <w:r>
        <w:rPr>
          <w:rFonts w:hint="default" w:ascii="Times New Roman" w:hAnsi="Times New Roman" w:eastAsia="黑体" w:cs="Times New Roman"/>
          <w:color w:val="auto"/>
          <w:spacing w:val="-10"/>
          <w:sz w:val="32"/>
          <w:szCs w:val="32"/>
          <w:highlight w:val="none"/>
        </w:rPr>
        <w:t>附则</w:t>
      </w:r>
    </w:p>
    <w:p w14:paraId="24DF3A82">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4" w:firstLineChars="200"/>
        <w:jc w:val="both"/>
        <w:textAlignment w:val="baseline"/>
        <w:rPr>
          <w:rFonts w:hint="eastAsia" w:ascii="Times New Roman" w:hAnsi="Times New Roman" w:eastAsia="仿宋_GB2312" w:cs="Times New Roman"/>
          <w:color w:val="auto"/>
          <w:sz w:val="32"/>
          <w:szCs w:val="32"/>
          <w:highlight w:val="none"/>
          <w:lang w:eastAsia="zh-CN" w:bidi="ar"/>
        </w:rPr>
      </w:pPr>
      <w:r>
        <w:rPr>
          <w:rFonts w:hint="default" w:ascii="Times New Roman" w:hAnsi="Times New Roman" w:eastAsia="黑体" w:cs="Times New Roman"/>
          <w:color w:val="auto"/>
          <w:spacing w:val="1"/>
          <w:sz w:val="32"/>
          <w:szCs w:val="32"/>
          <w:highlight w:val="none"/>
        </w:rPr>
        <w:t>第三十</w:t>
      </w:r>
      <w:r>
        <w:rPr>
          <w:rFonts w:hint="default" w:ascii="Times New Roman" w:hAnsi="Times New Roman" w:eastAsia="黑体" w:cs="Times New Roman"/>
          <w:color w:val="auto"/>
          <w:spacing w:val="1"/>
          <w:sz w:val="32"/>
          <w:szCs w:val="32"/>
          <w:highlight w:val="none"/>
          <w:lang w:eastAsia="zh-CN"/>
        </w:rPr>
        <w:t>二</w:t>
      </w:r>
      <w:r>
        <w:rPr>
          <w:rFonts w:hint="default" w:ascii="Times New Roman" w:hAnsi="Times New Roman" w:eastAsia="黑体" w:cs="Times New Roman"/>
          <w:color w:val="auto"/>
          <w:spacing w:val="1"/>
          <w:sz w:val="32"/>
          <w:szCs w:val="32"/>
          <w:highlight w:val="none"/>
        </w:rPr>
        <w:t>条</w:t>
      </w:r>
      <w:r>
        <w:rPr>
          <w:rFonts w:hint="default" w:ascii="Times New Roman" w:hAnsi="Times New Roman" w:eastAsia="仿宋_GB2312" w:cs="Times New Roman"/>
          <w:color w:val="auto"/>
          <w:spacing w:val="1"/>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本实施办法由省发展改革委、</w:t>
      </w:r>
      <w:r>
        <w:rPr>
          <w:rFonts w:hint="eastAsia" w:ascii="Times New Roman" w:hAnsi="Times New Roman" w:eastAsia="仿宋_GB2312" w:cs="Times New Roman"/>
          <w:color w:val="auto"/>
          <w:spacing w:val="0"/>
          <w:sz w:val="32"/>
          <w:szCs w:val="32"/>
          <w:highlight w:val="none"/>
          <w:lang w:val="en-US" w:eastAsia="zh-CN" w:bidi="ar"/>
        </w:rPr>
        <w:t>省工业和信息化厅</w:t>
      </w:r>
      <w:r>
        <w:rPr>
          <w:rFonts w:hint="eastAsia" w:ascii="Times New Roman" w:hAnsi="Times New Roman" w:eastAsia="仿宋_GB2312" w:cs="Times New Roman"/>
          <w:color w:val="auto"/>
          <w:spacing w:val="0"/>
          <w:sz w:val="32"/>
          <w:szCs w:val="32"/>
          <w:highlight w:val="none"/>
          <w:lang w:eastAsia="zh-CN" w:bidi="ar"/>
        </w:rPr>
        <w:t>、</w:t>
      </w:r>
      <w:r>
        <w:rPr>
          <w:rFonts w:hint="eastAsia" w:ascii="Times New Roman" w:hAnsi="Times New Roman" w:eastAsia="仿宋_GB2312" w:cs="Times New Roman"/>
          <w:color w:val="auto"/>
          <w:spacing w:val="0"/>
          <w:sz w:val="32"/>
          <w:szCs w:val="32"/>
          <w:highlight w:val="none"/>
          <w:lang w:val="en-US" w:eastAsia="zh-CN" w:bidi="ar"/>
        </w:rPr>
        <w:t>省能源局</w:t>
      </w:r>
      <w:r>
        <w:rPr>
          <w:rFonts w:hint="eastAsia" w:ascii="Times New Roman" w:hAnsi="Times New Roman" w:eastAsia="仿宋_GB2312" w:cs="Times New Roman"/>
          <w:color w:val="auto"/>
          <w:spacing w:val="0"/>
          <w:sz w:val="32"/>
          <w:szCs w:val="32"/>
          <w:highlight w:val="none"/>
          <w:lang w:eastAsia="zh-CN" w:bidi="ar"/>
        </w:rPr>
        <w:t>负责解释。</w:t>
      </w:r>
    </w:p>
    <w:p w14:paraId="6E65C711">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20" w:firstLineChars="200"/>
        <w:jc w:val="both"/>
        <w:textAlignment w:val="baseline"/>
        <w:rPr>
          <w:rFonts w:hint="eastAsia" w:ascii="Times New Roman" w:hAnsi="Times New Roman" w:eastAsia="仿宋_GB2312" w:cs="Times New Roman"/>
          <w:color w:val="auto"/>
          <w:spacing w:val="0"/>
          <w:position w:val="0"/>
          <w:sz w:val="32"/>
          <w:szCs w:val="32"/>
          <w:highlight w:val="none"/>
          <w:lang w:eastAsia="zh-CN" w:bidi="ar"/>
        </w:rPr>
      </w:pPr>
      <w:r>
        <w:rPr>
          <w:rFonts w:hint="default" w:ascii="Times New Roman" w:hAnsi="Times New Roman" w:eastAsia="黑体" w:cs="Times New Roman"/>
          <w:color w:val="auto"/>
          <w:spacing w:val="-5"/>
          <w:sz w:val="32"/>
          <w:szCs w:val="32"/>
          <w:highlight w:val="none"/>
        </w:rPr>
        <w:t>第三十</w:t>
      </w:r>
      <w:r>
        <w:rPr>
          <w:rFonts w:hint="default" w:ascii="Times New Roman" w:hAnsi="Times New Roman" w:eastAsia="黑体" w:cs="Times New Roman"/>
          <w:color w:val="auto"/>
          <w:spacing w:val="-5"/>
          <w:sz w:val="32"/>
          <w:szCs w:val="32"/>
          <w:highlight w:val="none"/>
          <w:lang w:eastAsia="zh-CN"/>
        </w:rPr>
        <w:t>三</w:t>
      </w:r>
      <w:r>
        <w:rPr>
          <w:rFonts w:hint="default" w:ascii="Times New Roman" w:hAnsi="Times New Roman" w:eastAsia="黑体" w:cs="Times New Roman"/>
          <w:color w:val="auto"/>
          <w:spacing w:val="-5"/>
          <w:sz w:val="32"/>
          <w:szCs w:val="32"/>
          <w:highlight w:val="none"/>
        </w:rPr>
        <w:t>条</w:t>
      </w:r>
      <w:r>
        <w:rPr>
          <w:rFonts w:hint="default" w:ascii="Times New Roman" w:hAnsi="Times New Roman" w:eastAsia="仿宋_GB2312" w:cs="Times New Roman"/>
          <w:color w:val="auto"/>
          <w:spacing w:val="56"/>
          <w:sz w:val="32"/>
          <w:szCs w:val="32"/>
          <w:highlight w:val="none"/>
        </w:rPr>
        <w:t xml:space="preserve"> </w:t>
      </w:r>
      <w:r>
        <w:rPr>
          <w:rFonts w:hint="eastAsia" w:ascii="Times New Roman" w:hAnsi="Times New Roman" w:eastAsia="仿宋_GB2312" w:cs="Times New Roman"/>
          <w:color w:val="auto"/>
          <w:spacing w:val="0"/>
          <w:sz w:val="32"/>
          <w:szCs w:val="32"/>
          <w:highlight w:val="none"/>
          <w:lang w:eastAsia="zh-CN" w:bidi="ar"/>
        </w:rPr>
        <w:t>本实施办法自印发之日起施行。原《贵州省固定资产投资项目节能审查实施办法》（黔发改环资〔2023〕591号）</w:t>
      </w:r>
      <w:r>
        <w:rPr>
          <w:rFonts w:hint="eastAsia" w:ascii="Times New Roman" w:hAnsi="Times New Roman" w:eastAsia="仿宋_GB2312" w:cs="Times New Roman"/>
          <w:color w:val="auto"/>
          <w:spacing w:val="0"/>
          <w:position w:val="0"/>
          <w:sz w:val="32"/>
          <w:szCs w:val="32"/>
          <w:highlight w:val="none"/>
          <w:lang w:eastAsia="zh-CN" w:bidi="ar"/>
        </w:rPr>
        <w:t>同时废止。</w:t>
      </w:r>
    </w:p>
    <w:p w14:paraId="7D5A60C0">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position w:val="0"/>
          <w:sz w:val="32"/>
          <w:szCs w:val="32"/>
          <w:highlight w:val="none"/>
          <w:lang w:eastAsia="zh-CN" w:bidi="ar"/>
        </w:rPr>
      </w:pPr>
    </w:p>
    <w:p w14:paraId="0958F791">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position w:val="0"/>
          <w:sz w:val="32"/>
          <w:szCs w:val="32"/>
          <w:highlight w:val="none"/>
          <w:lang w:eastAsia="zh-CN" w:bidi="ar"/>
        </w:rPr>
        <w:t>附件：</w:t>
      </w:r>
      <w:r>
        <w:rPr>
          <w:rFonts w:hint="eastAsia" w:ascii="Times New Roman" w:hAnsi="Times New Roman" w:eastAsia="仿宋_GB2312" w:cs="Times New Roman"/>
          <w:color w:val="auto"/>
          <w:spacing w:val="0"/>
          <w:sz w:val="32"/>
          <w:szCs w:val="32"/>
          <w:highlight w:val="none"/>
          <w:lang w:eastAsia="zh-CN" w:bidi="ar"/>
        </w:rPr>
        <w:t>不单独进行节能审查的固定资产投资项目能耗</w:t>
      </w:r>
    </w:p>
    <w:p w14:paraId="0483548F">
      <w:pPr>
        <w:pStyle w:val="2"/>
        <w:keepNext w:val="0"/>
        <w:keepLines w:val="0"/>
        <w:pageBreakBefore w:val="0"/>
        <w:widowControl w:val="0"/>
        <w:kinsoku/>
        <w:wordWrap/>
        <w:overflowPunct/>
        <w:topLinePunct w:val="0"/>
        <w:autoSpaceDE/>
        <w:autoSpaceDN/>
        <w:bidi w:val="0"/>
        <w:adjustRightInd w:val="0"/>
        <w:snapToGrid w:val="0"/>
        <w:spacing w:line="600" w:lineRule="exact"/>
        <w:ind w:left="0" w:firstLine="1600" w:firstLineChars="500"/>
        <w:jc w:val="both"/>
        <w:textAlignment w:val="baseline"/>
        <w:rPr>
          <w:rFonts w:hint="eastAsia" w:ascii="Times New Roman" w:hAnsi="Times New Roman" w:eastAsia="仿宋_GB2312" w:cs="Times New Roman"/>
          <w:color w:val="auto"/>
          <w:spacing w:val="0"/>
          <w:sz w:val="32"/>
          <w:szCs w:val="32"/>
          <w:highlight w:val="none"/>
          <w:lang w:eastAsia="zh-CN" w:bidi="ar"/>
        </w:rPr>
      </w:pPr>
      <w:r>
        <w:rPr>
          <w:rFonts w:hint="eastAsia" w:ascii="Times New Roman" w:hAnsi="Times New Roman" w:eastAsia="仿宋_GB2312" w:cs="Times New Roman"/>
          <w:color w:val="auto"/>
          <w:spacing w:val="0"/>
          <w:sz w:val="32"/>
          <w:szCs w:val="32"/>
          <w:highlight w:val="none"/>
          <w:lang w:eastAsia="zh-CN" w:bidi="ar"/>
        </w:rPr>
        <w:t>说明和节能承诺</w:t>
      </w:r>
      <w:bookmarkStart w:id="0" w:name="_GoBack"/>
      <w:bookmarkEnd w:id="0"/>
    </w:p>
    <w:sectPr>
      <w:footerReference r:id="rId5" w:type="default"/>
      <w:pgSz w:w="11906" w:h="16839"/>
      <w:pgMar w:top="1440" w:right="1701" w:bottom="1440" w:left="1701" w:header="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54A4A0-7E72-4A42-B139-2E30A5BF9357}"/>
  </w:font>
  <w:font w:name="黑体">
    <w:panose1 w:val="02010609060101010101"/>
    <w:charset w:val="86"/>
    <w:family w:val="auto"/>
    <w:pitch w:val="default"/>
    <w:sig w:usb0="800002BF" w:usb1="38CF7CFA" w:usb2="00000016" w:usb3="00000000" w:csb0="00040001" w:csb1="00000000"/>
    <w:embedRegular r:id="rId2" w:fontKey="{38118BCC-EB66-4F21-BEBA-C4CF93F2ED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84905465-A6D9-4C84-A02F-D32E11B61ECE}"/>
  </w:font>
  <w:font w:name="微软雅黑">
    <w:panose1 w:val="020B0503020204020204"/>
    <w:charset w:val="86"/>
    <w:family w:val="auto"/>
    <w:pitch w:val="default"/>
    <w:sig w:usb0="80000287" w:usb1="2ACF3C50" w:usb2="00000016" w:usb3="00000000" w:csb0="0004001F" w:csb1="00000000"/>
    <w:embedRegular r:id="rId4" w:fontKey="{1790FA29-320E-410C-AB8D-EA2DC2807BA6}"/>
  </w:font>
  <w:font w:name="仿宋_GB2312">
    <w:altName w:val="仿宋"/>
    <w:panose1 w:val="02010609030101010101"/>
    <w:charset w:val="86"/>
    <w:family w:val="auto"/>
    <w:pitch w:val="default"/>
    <w:sig w:usb0="00000000" w:usb1="00000000" w:usb2="00000000" w:usb3="00000000" w:csb0="00040000" w:csb1="00000000"/>
    <w:embedRegular r:id="rId5" w:fontKey="{83ED984A-6F75-49E3-BE88-66D4CEF646C7}"/>
  </w:font>
  <w:font w:name="楷体_GB2312">
    <w:altName w:val="楷体"/>
    <w:panose1 w:val="02010609030101010101"/>
    <w:charset w:val="86"/>
    <w:family w:val="auto"/>
    <w:pitch w:val="default"/>
    <w:sig w:usb0="00000000" w:usb1="00000000" w:usb2="00000000" w:usb3="00000000" w:csb0="00040000" w:csb1="00000000"/>
    <w:embedRegular r:id="rId6" w:fontKey="{6C668064-A707-4A4F-902A-D9D75AD8457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46603">
    <w:pPr>
      <w:spacing w:line="440" w:lineRule="exact"/>
      <w:ind w:left="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5079C">
                          <w:pPr>
                            <w:pStyle w:val="3"/>
                          </w:pPr>
                          <w:r>
                            <w:t>—</w:t>
                          </w:r>
                          <w:r>
                            <w:rPr>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5079C">
                    <w:pPr>
                      <w:pStyle w:val="3"/>
                    </w:pPr>
                    <w:r>
                      <w:t>—</w:t>
                    </w:r>
                    <w:r>
                      <w:rPr>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sz w:val="28"/>
                        <w:szCs w:val="28"/>
                      </w:rPr>
                      <w:t xml:space="preserve"> </w:t>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04A71"/>
    <w:rsid w:val="0091008D"/>
    <w:rsid w:val="00E10DF0"/>
    <w:rsid w:val="00F436E4"/>
    <w:rsid w:val="019404F8"/>
    <w:rsid w:val="024D764E"/>
    <w:rsid w:val="02557C87"/>
    <w:rsid w:val="02587777"/>
    <w:rsid w:val="02691984"/>
    <w:rsid w:val="02876A33"/>
    <w:rsid w:val="02965EB5"/>
    <w:rsid w:val="02AE00E7"/>
    <w:rsid w:val="0328714A"/>
    <w:rsid w:val="032D7483"/>
    <w:rsid w:val="035F0D43"/>
    <w:rsid w:val="03FD2384"/>
    <w:rsid w:val="042129B1"/>
    <w:rsid w:val="055376C9"/>
    <w:rsid w:val="05735006"/>
    <w:rsid w:val="063C36AB"/>
    <w:rsid w:val="063E5F97"/>
    <w:rsid w:val="065B11F4"/>
    <w:rsid w:val="06AE33F4"/>
    <w:rsid w:val="06E635A4"/>
    <w:rsid w:val="071F0864"/>
    <w:rsid w:val="074F1C89"/>
    <w:rsid w:val="07521B5C"/>
    <w:rsid w:val="076F3C01"/>
    <w:rsid w:val="079059F3"/>
    <w:rsid w:val="07B77E12"/>
    <w:rsid w:val="07BC4304"/>
    <w:rsid w:val="07CD02C0"/>
    <w:rsid w:val="07CD1026"/>
    <w:rsid w:val="07F545F4"/>
    <w:rsid w:val="084367D4"/>
    <w:rsid w:val="086C7AD9"/>
    <w:rsid w:val="08C83337"/>
    <w:rsid w:val="09400649"/>
    <w:rsid w:val="09B01E83"/>
    <w:rsid w:val="09BC183D"/>
    <w:rsid w:val="09C252EF"/>
    <w:rsid w:val="0A481E7F"/>
    <w:rsid w:val="0A682522"/>
    <w:rsid w:val="0AF73FD1"/>
    <w:rsid w:val="0B016286"/>
    <w:rsid w:val="0BC4572B"/>
    <w:rsid w:val="0C594818"/>
    <w:rsid w:val="0CC54186"/>
    <w:rsid w:val="0CC635A9"/>
    <w:rsid w:val="0CDF4D1D"/>
    <w:rsid w:val="0CF90179"/>
    <w:rsid w:val="0D14070E"/>
    <w:rsid w:val="0D927D01"/>
    <w:rsid w:val="0DB138BA"/>
    <w:rsid w:val="0E5D1D32"/>
    <w:rsid w:val="0EE303C9"/>
    <w:rsid w:val="0F3F26BD"/>
    <w:rsid w:val="10036F74"/>
    <w:rsid w:val="102E38C6"/>
    <w:rsid w:val="10562ED2"/>
    <w:rsid w:val="105B03FF"/>
    <w:rsid w:val="108C17E0"/>
    <w:rsid w:val="11214E68"/>
    <w:rsid w:val="11755C50"/>
    <w:rsid w:val="11922413"/>
    <w:rsid w:val="11C24DB9"/>
    <w:rsid w:val="12850115"/>
    <w:rsid w:val="12C92A41"/>
    <w:rsid w:val="12DA2138"/>
    <w:rsid w:val="13596EAB"/>
    <w:rsid w:val="13C94031"/>
    <w:rsid w:val="13D7E726"/>
    <w:rsid w:val="13E0137B"/>
    <w:rsid w:val="13E73A9D"/>
    <w:rsid w:val="13EA37AC"/>
    <w:rsid w:val="13EF5C44"/>
    <w:rsid w:val="14025795"/>
    <w:rsid w:val="14223741"/>
    <w:rsid w:val="143B15B7"/>
    <w:rsid w:val="14435ECB"/>
    <w:rsid w:val="146A4989"/>
    <w:rsid w:val="14733768"/>
    <w:rsid w:val="14FB2910"/>
    <w:rsid w:val="15244FBD"/>
    <w:rsid w:val="152559AD"/>
    <w:rsid w:val="154D21E6"/>
    <w:rsid w:val="15842905"/>
    <w:rsid w:val="158B2D0B"/>
    <w:rsid w:val="158E4113"/>
    <w:rsid w:val="158F015F"/>
    <w:rsid w:val="15D62041"/>
    <w:rsid w:val="16243949"/>
    <w:rsid w:val="1653052A"/>
    <w:rsid w:val="165C1BB1"/>
    <w:rsid w:val="166045AC"/>
    <w:rsid w:val="16677B31"/>
    <w:rsid w:val="1709033B"/>
    <w:rsid w:val="17170A96"/>
    <w:rsid w:val="183A70E6"/>
    <w:rsid w:val="185D1172"/>
    <w:rsid w:val="18F63580"/>
    <w:rsid w:val="190351FF"/>
    <w:rsid w:val="191747A4"/>
    <w:rsid w:val="19410B0E"/>
    <w:rsid w:val="19410E38"/>
    <w:rsid w:val="19803B3F"/>
    <w:rsid w:val="19FB0CBC"/>
    <w:rsid w:val="1A5D2FBC"/>
    <w:rsid w:val="1A8769F4"/>
    <w:rsid w:val="1AA54498"/>
    <w:rsid w:val="1B4A0114"/>
    <w:rsid w:val="1B6B3C20"/>
    <w:rsid w:val="1B8054EF"/>
    <w:rsid w:val="1BB4390C"/>
    <w:rsid w:val="1BDC26E6"/>
    <w:rsid w:val="1BE04EA8"/>
    <w:rsid w:val="1C0E6871"/>
    <w:rsid w:val="1C100BD6"/>
    <w:rsid w:val="1C312204"/>
    <w:rsid w:val="1C933367"/>
    <w:rsid w:val="1CA1028F"/>
    <w:rsid w:val="1CCF4377"/>
    <w:rsid w:val="1CE7377A"/>
    <w:rsid w:val="1CF23C90"/>
    <w:rsid w:val="1D306E07"/>
    <w:rsid w:val="1DB713A8"/>
    <w:rsid w:val="1DCA2E80"/>
    <w:rsid w:val="1DDE7CD3"/>
    <w:rsid w:val="1DFF271D"/>
    <w:rsid w:val="1E3429EF"/>
    <w:rsid w:val="1E395278"/>
    <w:rsid w:val="1E5803FA"/>
    <w:rsid w:val="1ECC0E79"/>
    <w:rsid w:val="1F182C35"/>
    <w:rsid w:val="1FFC170E"/>
    <w:rsid w:val="202F7912"/>
    <w:rsid w:val="205E5B0E"/>
    <w:rsid w:val="20EE3329"/>
    <w:rsid w:val="21584C46"/>
    <w:rsid w:val="218B1246"/>
    <w:rsid w:val="22244B28"/>
    <w:rsid w:val="223B4FEB"/>
    <w:rsid w:val="2274076A"/>
    <w:rsid w:val="229746F3"/>
    <w:rsid w:val="22B855C3"/>
    <w:rsid w:val="22D53B9A"/>
    <w:rsid w:val="236C49D9"/>
    <w:rsid w:val="23D208E0"/>
    <w:rsid w:val="23E46C65"/>
    <w:rsid w:val="23FA7E6D"/>
    <w:rsid w:val="241E5CD3"/>
    <w:rsid w:val="244A0F81"/>
    <w:rsid w:val="246A25D1"/>
    <w:rsid w:val="247E49C4"/>
    <w:rsid w:val="24F84594"/>
    <w:rsid w:val="250926EA"/>
    <w:rsid w:val="253C5965"/>
    <w:rsid w:val="253F55D6"/>
    <w:rsid w:val="25875AFA"/>
    <w:rsid w:val="259F45C7"/>
    <w:rsid w:val="25C06A88"/>
    <w:rsid w:val="25CB51FF"/>
    <w:rsid w:val="25D074A1"/>
    <w:rsid w:val="25FA4702"/>
    <w:rsid w:val="260D0B0E"/>
    <w:rsid w:val="263271C9"/>
    <w:rsid w:val="267B565F"/>
    <w:rsid w:val="26B02E2F"/>
    <w:rsid w:val="272555CB"/>
    <w:rsid w:val="279974FF"/>
    <w:rsid w:val="27B64475"/>
    <w:rsid w:val="27E86D24"/>
    <w:rsid w:val="27F37477"/>
    <w:rsid w:val="28013281"/>
    <w:rsid w:val="28810F26"/>
    <w:rsid w:val="28A32C4B"/>
    <w:rsid w:val="28A864B3"/>
    <w:rsid w:val="292C2C40"/>
    <w:rsid w:val="29B81381"/>
    <w:rsid w:val="29DF052B"/>
    <w:rsid w:val="29F554B9"/>
    <w:rsid w:val="2AA44A58"/>
    <w:rsid w:val="2AA80AEB"/>
    <w:rsid w:val="2B3B716B"/>
    <w:rsid w:val="2B550C2B"/>
    <w:rsid w:val="2B603075"/>
    <w:rsid w:val="2B9E3DE3"/>
    <w:rsid w:val="2BBA626A"/>
    <w:rsid w:val="2BBB7498"/>
    <w:rsid w:val="2BFD6F72"/>
    <w:rsid w:val="2C101CE9"/>
    <w:rsid w:val="2C1C39EC"/>
    <w:rsid w:val="2C6170A5"/>
    <w:rsid w:val="2C923702"/>
    <w:rsid w:val="2CAA489A"/>
    <w:rsid w:val="2D053ED4"/>
    <w:rsid w:val="2D0E162D"/>
    <w:rsid w:val="2D342E7B"/>
    <w:rsid w:val="2D560F91"/>
    <w:rsid w:val="2D872B3B"/>
    <w:rsid w:val="2D9C7361"/>
    <w:rsid w:val="2DA70645"/>
    <w:rsid w:val="2E297EB4"/>
    <w:rsid w:val="2E3330F2"/>
    <w:rsid w:val="2E5F7687"/>
    <w:rsid w:val="2E70537D"/>
    <w:rsid w:val="2E8F766D"/>
    <w:rsid w:val="2E957C6F"/>
    <w:rsid w:val="2EA25CE1"/>
    <w:rsid w:val="2FB00161"/>
    <w:rsid w:val="304C3545"/>
    <w:rsid w:val="30A9768F"/>
    <w:rsid w:val="30D81136"/>
    <w:rsid w:val="30E12562"/>
    <w:rsid w:val="311F73D3"/>
    <w:rsid w:val="31436777"/>
    <w:rsid w:val="323D694A"/>
    <w:rsid w:val="324A5B7D"/>
    <w:rsid w:val="325C4129"/>
    <w:rsid w:val="3298484E"/>
    <w:rsid w:val="3341378C"/>
    <w:rsid w:val="337C4BF2"/>
    <w:rsid w:val="3380787D"/>
    <w:rsid w:val="33E5542A"/>
    <w:rsid w:val="33F063D8"/>
    <w:rsid w:val="34333D66"/>
    <w:rsid w:val="34D85FF9"/>
    <w:rsid w:val="34F565DC"/>
    <w:rsid w:val="350A405D"/>
    <w:rsid w:val="352B46F4"/>
    <w:rsid w:val="352D3560"/>
    <w:rsid w:val="355C4A8C"/>
    <w:rsid w:val="359D4169"/>
    <w:rsid w:val="36176A26"/>
    <w:rsid w:val="36522B40"/>
    <w:rsid w:val="36B85B13"/>
    <w:rsid w:val="36FFF59E"/>
    <w:rsid w:val="37105528"/>
    <w:rsid w:val="37482752"/>
    <w:rsid w:val="37906A90"/>
    <w:rsid w:val="37AE4E61"/>
    <w:rsid w:val="38741893"/>
    <w:rsid w:val="38E75D8E"/>
    <w:rsid w:val="39401BFB"/>
    <w:rsid w:val="395835DE"/>
    <w:rsid w:val="395F496C"/>
    <w:rsid w:val="3979779C"/>
    <w:rsid w:val="39A10518"/>
    <w:rsid w:val="39B40D89"/>
    <w:rsid w:val="3A8E0B3B"/>
    <w:rsid w:val="3AE41E37"/>
    <w:rsid w:val="3B1F4044"/>
    <w:rsid w:val="3B485715"/>
    <w:rsid w:val="3B516536"/>
    <w:rsid w:val="3B60397A"/>
    <w:rsid w:val="3B742225"/>
    <w:rsid w:val="3B761C52"/>
    <w:rsid w:val="3BE1671C"/>
    <w:rsid w:val="3CA64660"/>
    <w:rsid w:val="3CAD706A"/>
    <w:rsid w:val="3CB61132"/>
    <w:rsid w:val="3CD37F07"/>
    <w:rsid w:val="3D324BDD"/>
    <w:rsid w:val="3D7D3613"/>
    <w:rsid w:val="3D8C473C"/>
    <w:rsid w:val="3DD27E02"/>
    <w:rsid w:val="3DEF28B6"/>
    <w:rsid w:val="3E13538A"/>
    <w:rsid w:val="3E1958BD"/>
    <w:rsid w:val="3E3C3F29"/>
    <w:rsid w:val="3E6134D9"/>
    <w:rsid w:val="3E682515"/>
    <w:rsid w:val="3E861E0E"/>
    <w:rsid w:val="3E985BD3"/>
    <w:rsid w:val="3ECD252B"/>
    <w:rsid w:val="3ED2074B"/>
    <w:rsid w:val="3EF8635E"/>
    <w:rsid w:val="3F091DB0"/>
    <w:rsid w:val="3F2448D2"/>
    <w:rsid w:val="3F3F582F"/>
    <w:rsid w:val="3F8F762D"/>
    <w:rsid w:val="3FCE0FEC"/>
    <w:rsid w:val="3FDF3AA4"/>
    <w:rsid w:val="40685642"/>
    <w:rsid w:val="40B530C4"/>
    <w:rsid w:val="40BD0C5A"/>
    <w:rsid w:val="40C227B1"/>
    <w:rsid w:val="40E8793D"/>
    <w:rsid w:val="40E9060D"/>
    <w:rsid w:val="4137435A"/>
    <w:rsid w:val="41570C59"/>
    <w:rsid w:val="41F863CA"/>
    <w:rsid w:val="41F929F3"/>
    <w:rsid w:val="421107CE"/>
    <w:rsid w:val="421B164C"/>
    <w:rsid w:val="42CE73D2"/>
    <w:rsid w:val="42F74FEE"/>
    <w:rsid w:val="432D2F2C"/>
    <w:rsid w:val="43746DCA"/>
    <w:rsid w:val="43C875B2"/>
    <w:rsid w:val="43E92E55"/>
    <w:rsid w:val="44354C47"/>
    <w:rsid w:val="444255B6"/>
    <w:rsid w:val="447C2876"/>
    <w:rsid w:val="449A2CFC"/>
    <w:rsid w:val="44FE12D3"/>
    <w:rsid w:val="451248BC"/>
    <w:rsid w:val="45AA7D54"/>
    <w:rsid w:val="45CB49F3"/>
    <w:rsid w:val="45D146FC"/>
    <w:rsid w:val="465D7E5D"/>
    <w:rsid w:val="468C2B19"/>
    <w:rsid w:val="469B1418"/>
    <w:rsid w:val="478F0E0D"/>
    <w:rsid w:val="47C720F3"/>
    <w:rsid w:val="48A0193F"/>
    <w:rsid w:val="49A62FC2"/>
    <w:rsid w:val="49EC51DC"/>
    <w:rsid w:val="4A013321"/>
    <w:rsid w:val="4A272EA8"/>
    <w:rsid w:val="4A2D22B6"/>
    <w:rsid w:val="4A8A7297"/>
    <w:rsid w:val="4A9B5EFF"/>
    <w:rsid w:val="4AFB05E6"/>
    <w:rsid w:val="4B046389"/>
    <w:rsid w:val="4B1C41A1"/>
    <w:rsid w:val="4B517948"/>
    <w:rsid w:val="4BAC2403"/>
    <w:rsid w:val="4C1279BB"/>
    <w:rsid w:val="4C3B6749"/>
    <w:rsid w:val="4C7F7227"/>
    <w:rsid w:val="4CA566E2"/>
    <w:rsid w:val="4CB63DBA"/>
    <w:rsid w:val="4CE52F83"/>
    <w:rsid w:val="4CF33D19"/>
    <w:rsid w:val="4D1D0B8E"/>
    <w:rsid w:val="4D557C57"/>
    <w:rsid w:val="4D5F1345"/>
    <w:rsid w:val="4D9F405C"/>
    <w:rsid w:val="4EDB288F"/>
    <w:rsid w:val="4EDE2C63"/>
    <w:rsid w:val="4EF36342"/>
    <w:rsid w:val="4F0C0C9A"/>
    <w:rsid w:val="4F130CF7"/>
    <w:rsid w:val="4F493C9D"/>
    <w:rsid w:val="4FE415EA"/>
    <w:rsid w:val="503D7A3B"/>
    <w:rsid w:val="50715259"/>
    <w:rsid w:val="509B4084"/>
    <w:rsid w:val="509F438B"/>
    <w:rsid w:val="51527A81"/>
    <w:rsid w:val="51933AF9"/>
    <w:rsid w:val="519B1447"/>
    <w:rsid w:val="51AE6039"/>
    <w:rsid w:val="52971174"/>
    <w:rsid w:val="52AB2F84"/>
    <w:rsid w:val="536C61AC"/>
    <w:rsid w:val="53A21BCD"/>
    <w:rsid w:val="53BF5A25"/>
    <w:rsid w:val="549C661D"/>
    <w:rsid w:val="54B81D72"/>
    <w:rsid w:val="54BB23D1"/>
    <w:rsid w:val="54E57FC4"/>
    <w:rsid w:val="54F57D75"/>
    <w:rsid w:val="54F627E5"/>
    <w:rsid w:val="55705144"/>
    <w:rsid w:val="558F1F05"/>
    <w:rsid w:val="55C34F24"/>
    <w:rsid w:val="56332E4C"/>
    <w:rsid w:val="56654C7E"/>
    <w:rsid w:val="56AF54DC"/>
    <w:rsid w:val="56E12A0D"/>
    <w:rsid w:val="56F92625"/>
    <w:rsid w:val="57561032"/>
    <w:rsid w:val="579456F9"/>
    <w:rsid w:val="57956E41"/>
    <w:rsid w:val="579655A5"/>
    <w:rsid w:val="57BE71A9"/>
    <w:rsid w:val="57ED126D"/>
    <w:rsid w:val="58707689"/>
    <w:rsid w:val="5872293E"/>
    <w:rsid w:val="589E6E07"/>
    <w:rsid w:val="59462FFB"/>
    <w:rsid w:val="595C281E"/>
    <w:rsid w:val="5A5870F8"/>
    <w:rsid w:val="5A5A7E2E"/>
    <w:rsid w:val="5A750E7B"/>
    <w:rsid w:val="5B1B56DE"/>
    <w:rsid w:val="5B763B85"/>
    <w:rsid w:val="5BAE6F09"/>
    <w:rsid w:val="5C13166B"/>
    <w:rsid w:val="5C2744BE"/>
    <w:rsid w:val="5C5D2B35"/>
    <w:rsid w:val="5CAE513F"/>
    <w:rsid w:val="5CB0535B"/>
    <w:rsid w:val="5CDB3A5A"/>
    <w:rsid w:val="5D30024A"/>
    <w:rsid w:val="5E5419D2"/>
    <w:rsid w:val="5EC42689"/>
    <w:rsid w:val="5F577493"/>
    <w:rsid w:val="5F751F44"/>
    <w:rsid w:val="5FAB1E0A"/>
    <w:rsid w:val="5FFA3C1F"/>
    <w:rsid w:val="60310561"/>
    <w:rsid w:val="60367925"/>
    <w:rsid w:val="605924CC"/>
    <w:rsid w:val="607641C6"/>
    <w:rsid w:val="60A46F85"/>
    <w:rsid w:val="60CC028A"/>
    <w:rsid w:val="60CC28A6"/>
    <w:rsid w:val="616C13D1"/>
    <w:rsid w:val="6199479A"/>
    <w:rsid w:val="61B400D2"/>
    <w:rsid w:val="61B50D1E"/>
    <w:rsid w:val="61BE05A5"/>
    <w:rsid w:val="61F1480D"/>
    <w:rsid w:val="62066573"/>
    <w:rsid w:val="62C74E11"/>
    <w:rsid w:val="62D82F16"/>
    <w:rsid w:val="635B58F5"/>
    <w:rsid w:val="6361084A"/>
    <w:rsid w:val="636576C6"/>
    <w:rsid w:val="638D0B4D"/>
    <w:rsid w:val="639532C6"/>
    <w:rsid w:val="639D7CBB"/>
    <w:rsid w:val="642804D7"/>
    <w:rsid w:val="64982006"/>
    <w:rsid w:val="64AB06D2"/>
    <w:rsid w:val="64BE25DF"/>
    <w:rsid w:val="64CC2881"/>
    <w:rsid w:val="64E12A70"/>
    <w:rsid w:val="64E77440"/>
    <w:rsid w:val="656C5E93"/>
    <w:rsid w:val="65F74724"/>
    <w:rsid w:val="660C1021"/>
    <w:rsid w:val="66432F92"/>
    <w:rsid w:val="666F738B"/>
    <w:rsid w:val="669211E5"/>
    <w:rsid w:val="677D5E3A"/>
    <w:rsid w:val="67914B86"/>
    <w:rsid w:val="681A2B25"/>
    <w:rsid w:val="682B16F7"/>
    <w:rsid w:val="68827032"/>
    <w:rsid w:val="688D47A2"/>
    <w:rsid w:val="68F856AC"/>
    <w:rsid w:val="690507DD"/>
    <w:rsid w:val="691968F2"/>
    <w:rsid w:val="692348B6"/>
    <w:rsid w:val="69790EAA"/>
    <w:rsid w:val="69CF5C73"/>
    <w:rsid w:val="69D46B63"/>
    <w:rsid w:val="6A0A597F"/>
    <w:rsid w:val="6A2A4FAD"/>
    <w:rsid w:val="6AC05D9D"/>
    <w:rsid w:val="6AF326FD"/>
    <w:rsid w:val="6AF34AEE"/>
    <w:rsid w:val="6AFE676C"/>
    <w:rsid w:val="6B4B3FB2"/>
    <w:rsid w:val="6B51524C"/>
    <w:rsid w:val="6BC77FCB"/>
    <w:rsid w:val="6C394029"/>
    <w:rsid w:val="6C922CA9"/>
    <w:rsid w:val="6CAE5601"/>
    <w:rsid w:val="6D612EC3"/>
    <w:rsid w:val="6D673814"/>
    <w:rsid w:val="6DD35943"/>
    <w:rsid w:val="6E0977B6"/>
    <w:rsid w:val="6E0C3108"/>
    <w:rsid w:val="6E157E99"/>
    <w:rsid w:val="6E41268E"/>
    <w:rsid w:val="6E48546A"/>
    <w:rsid w:val="6E6414B1"/>
    <w:rsid w:val="6E777813"/>
    <w:rsid w:val="6E886733"/>
    <w:rsid w:val="6EC83968"/>
    <w:rsid w:val="6FB10442"/>
    <w:rsid w:val="6FE3114C"/>
    <w:rsid w:val="6FE67489"/>
    <w:rsid w:val="6FEB07CB"/>
    <w:rsid w:val="708D1B58"/>
    <w:rsid w:val="70A5384A"/>
    <w:rsid w:val="70F92A2E"/>
    <w:rsid w:val="713A4237"/>
    <w:rsid w:val="71911EDE"/>
    <w:rsid w:val="720B2197"/>
    <w:rsid w:val="723F4D5F"/>
    <w:rsid w:val="72486BA2"/>
    <w:rsid w:val="72831E96"/>
    <w:rsid w:val="72BF5B97"/>
    <w:rsid w:val="72D52262"/>
    <w:rsid w:val="732F25CC"/>
    <w:rsid w:val="740515D9"/>
    <w:rsid w:val="741C221E"/>
    <w:rsid w:val="743B4AEA"/>
    <w:rsid w:val="745937EA"/>
    <w:rsid w:val="74A0261F"/>
    <w:rsid w:val="74CE53B4"/>
    <w:rsid w:val="74DA2B1D"/>
    <w:rsid w:val="74F425D4"/>
    <w:rsid w:val="75067250"/>
    <w:rsid w:val="75137DDD"/>
    <w:rsid w:val="75581C94"/>
    <w:rsid w:val="75626FD3"/>
    <w:rsid w:val="75791ED3"/>
    <w:rsid w:val="758A3D6D"/>
    <w:rsid w:val="75C153DB"/>
    <w:rsid w:val="75C850E6"/>
    <w:rsid w:val="75F65AAC"/>
    <w:rsid w:val="76A1458D"/>
    <w:rsid w:val="77770AF7"/>
    <w:rsid w:val="7791100A"/>
    <w:rsid w:val="7819395D"/>
    <w:rsid w:val="7857203E"/>
    <w:rsid w:val="786D3CA8"/>
    <w:rsid w:val="78BF49FB"/>
    <w:rsid w:val="790E745B"/>
    <w:rsid w:val="79253032"/>
    <w:rsid w:val="796677D7"/>
    <w:rsid w:val="798662DF"/>
    <w:rsid w:val="79874901"/>
    <w:rsid w:val="79DA65B9"/>
    <w:rsid w:val="7A163075"/>
    <w:rsid w:val="7A3800E6"/>
    <w:rsid w:val="7A4626C0"/>
    <w:rsid w:val="7A5F74BC"/>
    <w:rsid w:val="7A7607F4"/>
    <w:rsid w:val="7A87130F"/>
    <w:rsid w:val="7AC202DC"/>
    <w:rsid w:val="7AD37193"/>
    <w:rsid w:val="7AE75F94"/>
    <w:rsid w:val="7B953BCC"/>
    <w:rsid w:val="7BCA5F36"/>
    <w:rsid w:val="7BEDD2BD"/>
    <w:rsid w:val="7C292631"/>
    <w:rsid w:val="7C5D68CB"/>
    <w:rsid w:val="7CD33333"/>
    <w:rsid w:val="7CEF7382"/>
    <w:rsid w:val="7CF90026"/>
    <w:rsid w:val="7D097B23"/>
    <w:rsid w:val="7D2232B3"/>
    <w:rsid w:val="7D29576E"/>
    <w:rsid w:val="7D5C1858"/>
    <w:rsid w:val="7D6C2781"/>
    <w:rsid w:val="7DB468F8"/>
    <w:rsid w:val="7E04598F"/>
    <w:rsid w:val="7E076301"/>
    <w:rsid w:val="7E5F22E5"/>
    <w:rsid w:val="7EA47CF8"/>
    <w:rsid w:val="7F236B93"/>
    <w:rsid w:val="7F363046"/>
    <w:rsid w:val="7F650DC4"/>
    <w:rsid w:val="7F6D3596"/>
    <w:rsid w:val="7F9C31E9"/>
    <w:rsid w:val="7FBA718A"/>
    <w:rsid w:val="7FC65583"/>
    <w:rsid w:val="7FF6466E"/>
    <w:rsid w:val="CFFDB35B"/>
    <w:rsid w:val="DFCD131F"/>
    <w:rsid w:val="F7AFA62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6558</Words>
  <Characters>6613</Characters>
  <TotalTime>54</TotalTime>
  <ScaleCrop>false</ScaleCrop>
  <LinksUpToDate>false</LinksUpToDate>
  <CharactersWithSpaces>6659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2025-07-26T10:22:00Z</dcterms:created>
  <dc:creator>user</dc:creator>
  <cp:lastModifiedBy>"Accompany[陪伴]</cp:lastModifiedBy>
  <dcterms:modified xsi:type="dcterms:W3CDTF">2025-11-19T01:07:54Z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2025-07-25T14:18:50Z</vt:filetime>
  </property>
  <property fmtid="{D5CDD505-2E9C-101B-9397-08002B2CF9AE}" pid="4" name="KSOTemplateDocerSaveRecord">
    <vt:lpwstr>eyJoZGlkIjoiNzQ1ZjYyMDMwZTFjNDcyNTQ3N2RmY2Q1ZjZiMGIxODMiLCJ1c2VySWQiOiI0MDc0MjMyNjIifQ==</vt:lpwstr>
  </property>
  <property fmtid="{D5CDD505-2E9C-101B-9397-08002B2CF9AE}" pid="5" name="KSOProductBuildVer">
    <vt:lpwstr>2052-12.1.0.23542</vt:lpwstr>
  </property>
  <property fmtid="{D5CDD505-2E9C-101B-9397-08002B2CF9AE}" pid="6" name="ICV">
    <vt:lpwstr>15A224D9520F4A6D808E0A05C2BAD889_13</vt:lpwstr>
  </property>
</Properties>
</file>