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1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0"/>
          <w:sz w:val="30"/>
          <w:szCs w:val="30"/>
          <w:highlight w:val="none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16"/>
          <w:sz w:val="42"/>
          <w:szCs w:val="4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16"/>
          <w:sz w:val="36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pacing w:val="16"/>
          <w:sz w:val="36"/>
          <w:szCs w:val="44"/>
          <w:highlight w:val="none"/>
          <w:shd w:val="clear" w:color="auto" w:fill="auto"/>
          <w:lang w:val="en-US" w:eastAsia="zh-CN"/>
        </w:rPr>
        <w:t>省发展改革委2018年度政府信息公开情况统计表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16"/>
          <w:sz w:val="42"/>
          <w:szCs w:val="42"/>
          <w:highlight w:val="none"/>
          <w:shd w:val="clear" w:color="auto" w:fill="auto"/>
          <w:lang w:val="en-US" w:eastAsia="zh-CN"/>
        </w:rPr>
      </w:pPr>
    </w:p>
    <w:tbl>
      <w:tblPr>
        <w:tblStyle w:val="3"/>
        <w:tblW w:w="86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统 计 指 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shd w:val="clear" w:color="auto" w:fill="auto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一、主动公开情况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（一）主动公开政府信息数</w:t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其中：主动公开规范性文件数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制发规范性文件总数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3773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.政务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客户端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.其他方式公开政府信息数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（三）建议提案办理结果公开情况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1.人大代表建议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2.政协提案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（四）政府信息动态管理情况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2.解密公开信息数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（五）重大决策预公开情况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3.征集到意见数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46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（网络）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4.不予采纳意见数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46（网络）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二、回应解读情况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（一）回应公众关注热点或重大舆情数</w:t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.政策解读稿件发布数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篇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.微博微信回应事件数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.其他方式回应事件数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（三）会议开放情况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1.面向公众开放会议次数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2.参会公众代表人数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三、依申请公开情况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（一）收到申请数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1.当面申请数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2.传真申请数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3.网络申请数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4.信函申请数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（二）申请办结数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1.按时办结数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2.延期办结数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（三）申请答复数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1.属于已主动公开范围数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2.同意公开答复数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3.同意部分公开答复数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4.不同意公开答复数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其中：涉及国家秘密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涉及商业秘密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涉及个人隐私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危及国家安全、公共安全、经济安全和社</w:t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会稳定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不是《条例》所指政府信息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法律法规规定的其他情形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5.不属于本行政机关公开数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6.申请信息不存在数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7.告知作出更改补充数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8.告知通过其他途径办理数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四、行政复议数量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（一）维持具体行政行为数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（二）被依法纠错数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（三）其他情形数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五、行政诉讼数量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（一）维持具体行政行为或者驳回原告诉讼请求数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（二）被依法纠错数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（三）其他情形数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六、举报投诉数量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七、依申请公开信息收取的费用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八、机构建设和保障经费情况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（一）政府信息公开工作专门机构数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（二）设置政府信息公开查阅点数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（三）从事政府信息公开工作人员数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1.专职人员数（不包括政府公报及政府网站工作</w:t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人员数）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2.兼职人数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政务公开监督员情况（各市州、贵安新区填报）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3.提出意见数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4.采纳意见数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）政府信息公开专项经费（不包括用于政府公报编</w:t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辑管理及政府网站建设维护等方面的经费）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shd w:val="clear" w:color="auto" w:fill="auto"/>
              </w:rPr>
              <w:t>九、政府信息公开会议和培训情况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autoSpaceDN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（二）举办各类培训班数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（三）接受培训人员数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</w:rPr>
              <w:t>人次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43B48"/>
    <w:rsid w:val="621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2019-03-31T04:09:00Z</dcterms:created>
  <dc:creator>user</dc:creator>
  <cp:lastModifiedBy>user</cp:lastModifiedBy>
  <dcterms:modified xsi:type="dcterms:W3CDTF">2019-03-31T04:10:08Z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